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F9459" w14:textId="77777777" w:rsidR="00737CCD" w:rsidRDefault="00000000">
      <w:pPr>
        <w:rPr>
          <w:rFonts w:ascii="Arial" w:eastAsia="Arial" w:hAnsi="Arial" w:cs="Arial"/>
          <w:b/>
          <w:color w:val="252362"/>
          <w:sz w:val="28"/>
          <w:szCs w:val="28"/>
        </w:rPr>
      </w:pPr>
      <w:r>
        <w:rPr>
          <w:rFonts w:ascii="Arial" w:eastAsia="Arial" w:hAnsi="Arial" w:cs="Arial"/>
          <w:b/>
          <w:color w:val="252362"/>
          <w:sz w:val="28"/>
          <w:szCs w:val="28"/>
        </w:rPr>
        <w:t>MEDIA RELEASE</w:t>
      </w:r>
    </w:p>
    <w:p w14:paraId="08FB0B5D" w14:textId="77777777" w:rsidR="00737CCD" w:rsidRDefault="00000000">
      <w:pPr>
        <w:rPr>
          <w:rFonts w:ascii="Arial" w:eastAsia="Arial" w:hAnsi="Arial" w:cs="Arial"/>
          <w:b/>
          <w:color w:val="252362"/>
        </w:rPr>
      </w:pPr>
      <w:r>
        <w:rPr>
          <w:rFonts w:ascii="Arial" w:eastAsia="Arial" w:hAnsi="Arial" w:cs="Arial"/>
          <w:b/>
          <w:color w:val="252362"/>
        </w:rPr>
        <w:t>8 November 2022</w:t>
      </w:r>
    </w:p>
    <w:p w14:paraId="21EFB5BF" w14:textId="77777777" w:rsidR="00737CCD" w:rsidRDefault="00737CCD">
      <w:pPr>
        <w:rPr>
          <w:rFonts w:ascii="Arial" w:eastAsia="Arial" w:hAnsi="Arial" w:cs="Arial"/>
          <w:b/>
          <w:color w:val="252362"/>
          <w:sz w:val="16"/>
          <w:szCs w:val="16"/>
        </w:rPr>
      </w:pPr>
    </w:p>
    <w:p w14:paraId="041C1464" w14:textId="77777777" w:rsidR="00737CCD" w:rsidRDefault="00000000">
      <w:pPr>
        <w:jc w:val="center"/>
        <w:rPr>
          <w:rFonts w:ascii="Arial" w:eastAsia="Arial" w:hAnsi="Arial" w:cs="Arial"/>
          <w:b/>
          <w:color w:val="252362"/>
          <w:sz w:val="32"/>
          <w:szCs w:val="32"/>
        </w:rPr>
      </w:pPr>
      <w:r>
        <w:rPr>
          <w:rFonts w:ascii="Arial" w:eastAsia="Arial" w:hAnsi="Arial" w:cs="Arial"/>
          <w:b/>
          <w:color w:val="252362"/>
          <w:sz w:val="32"/>
          <w:szCs w:val="32"/>
        </w:rPr>
        <w:t xml:space="preserve">New program supports women to take charge </w:t>
      </w:r>
    </w:p>
    <w:p w14:paraId="4446F60D" w14:textId="77777777" w:rsidR="00737CCD" w:rsidRDefault="00000000">
      <w:pPr>
        <w:jc w:val="center"/>
        <w:rPr>
          <w:rFonts w:ascii="Arial" w:eastAsia="Arial" w:hAnsi="Arial" w:cs="Arial"/>
          <w:b/>
          <w:color w:val="252362"/>
          <w:sz w:val="32"/>
          <w:szCs w:val="32"/>
        </w:rPr>
      </w:pPr>
      <w:r>
        <w:rPr>
          <w:rFonts w:ascii="Arial" w:eastAsia="Arial" w:hAnsi="Arial" w:cs="Arial"/>
          <w:b/>
          <w:color w:val="252362"/>
          <w:sz w:val="32"/>
          <w:szCs w:val="32"/>
        </w:rPr>
        <w:t>of their career</w:t>
      </w:r>
    </w:p>
    <w:p w14:paraId="715A33A0" w14:textId="77777777" w:rsidR="00737CCD" w:rsidRDefault="00000000">
      <w:pPr>
        <w:rPr>
          <w:rFonts w:ascii="Arial" w:eastAsia="Arial" w:hAnsi="Arial" w:cs="Arial"/>
          <w:b/>
          <w:color w:val="FFFFFF"/>
        </w:rPr>
      </w:pPr>
      <w:r>
        <w:rPr>
          <w:rFonts w:ascii="Arial" w:eastAsia="Arial" w:hAnsi="Arial" w:cs="Arial"/>
          <w:b/>
          <w:color w:val="FFFFFF"/>
        </w:rPr>
        <w:t xml:space="preserve"> </w:t>
      </w:r>
    </w:p>
    <w:p w14:paraId="2C7B7856"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 xml:space="preserve">Registrations are now open for the first program of its kind in Australia for women returning to work or changing careers. </w:t>
      </w:r>
    </w:p>
    <w:p w14:paraId="17C454C9"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 xml:space="preserve">The </w:t>
      </w:r>
      <w:r>
        <w:rPr>
          <w:rFonts w:ascii="Arial" w:eastAsia="Arial" w:hAnsi="Arial" w:cs="Arial"/>
          <w:i/>
          <w:color w:val="252362"/>
          <w:sz w:val="22"/>
          <w:szCs w:val="22"/>
        </w:rPr>
        <w:t xml:space="preserve">World of Work </w:t>
      </w:r>
      <w:r>
        <w:rPr>
          <w:rFonts w:ascii="Arial" w:eastAsia="Arial" w:hAnsi="Arial" w:cs="Arial"/>
          <w:color w:val="252362"/>
          <w:sz w:val="22"/>
          <w:szCs w:val="22"/>
        </w:rPr>
        <w:t xml:space="preserve">is designed to support women to build the confidence, </w:t>
      </w:r>
      <w:proofErr w:type="gramStart"/>
      <w:r>
        <w:rPr>
          <w:rFonts w:ascii="Arial" w:eastAsia="Arial" w:hAnsi="Arial" w:cs="Arial"/>
          <w:color w:val="252362"/>
          <w:sz w:val="22"/>
          <w:szCs w:val="22"/>
        </w:rPr>
        <w:t>knowledge</w:t>
      </w:r>
      <w:proofErr w:type="gramEnd"/>
      <w:r>
        <w:rPr>
          <w:rFonts w:ascii="Arial" w:eastAsia="Arial" w:hAnsi="Arial" w:cs="Arial"/>
          <w:color w:val="252362"/>
          <w:sz w:val="22"/>
          <w:szCs w:val="22"/>
        </w:rPr>
        <w:t xml:space="preserve"> and skills to take charge of their career – and life.</w:t>
      </w:r>
    </w:p>
    <w:p w14:paraId="61F558D1"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The program is a unique blend of interactive workshops, employer and training showcases, career coaching, and developing practical tools such as resumes and cover letters. The World of Work also partners with employers that can offer real career opportunities.</w:t>
      </w:r>
    </w:p>
    <w:p w14:paraId="1C5D33CD"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According to ABS figures only 26.1% of women are employed in full-time positions while a further 21.3% are working part-time, which leaves more than 50% of women unaccounted for in the paid workforce*. As of Feb 2022, data shows there are 1.8 million people in Australia who aren’t working but want to</w:t>
      </w:r>
      <w:r>
        <w:rPr>
          <w:rFonts w:ascii="Arial" w:eastAsia="Arial" w:hAnsi="Arial" w:cs="Arial"/>
          <w:color w:val="252362"/>
          <w:sz w:val="18"/>
          <w:szCs w:val="18"/>
        </w:rPr>
        <w:t>**</w:t>
      </w:r>
      <w:r>
        <w:rPr>
          <w:rFonts w:ascii="Arial" w:eastAsia="Arial" w:hAnsi="Arial" w:cs="Arial"/>
          <w:color w:val="252362"/>
          <w:sz w:val="22"/>
          <w:szCs w:val="22"/>
        </w:rPr>
        <w:t xml:space="preserve">. </w:t>
      </w:r>
    </w:p>
    <w:p w14:paraId="3E990C33"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 xml:space="preserve">But it's about more than simply getting a job. </w:t>
      </w:r>
    </w:p>
    <w:p w14:paraId="1075DA5F"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 xml:space="preserve">The World of Work is ultimately designed to support women to be happier, </w:t>
      </w:r>
      <w:proofErr w:type="gramStart"/>
      <w:r>
        <w:rPr>
          <w:rFonts w:ascii="Arial" w:eastAsia="Arial" w:hAnsi="Arial" w:cs="Arial"/>
          <w:color w:val="252362"/>
          <w:sz w:val="22"/>
          <w:szCs w:val="22"/>
        </w:rPr>
        <w:t>healthier</w:t>
      </w:r>
      <w:proofErr w:type="gramEnd"/>
      <w:r>
        <w:rPr>
          <w:rFonts w:ascii="Arial" w:eastAsia="Arial" w:hAnsi="Arial" w:cs="Arial"/>
          <w:color w:val="252362"/>
          <w:sz w:val="22"/>
          <w:szCs w:val="22"/>
        </w:rPr>
        <w:t xml:space="preserve"> and more engaged in their work – by balancing work and personal priorities, building quality relationships, understanding their personal values, and designing a career that works.</w:t>
      </w:r>
    </w:p>
    <w:p w14:paraId="144719D3"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 xml:space="preserve">It is an initiative of </w:t>
      </w:r>
      <w:proofErr w:type="spellStart"/>
      <w:r>
        <w:rPr>
          <w:rFonts w:ascii="Arial" w:eastAsia="Arial" w:hAnsi="Arial" w:cs="Arial"/>
          <w:color w:val="252362"/>
          <w:sz w:val="22"/>
          <w:szCs w:val="22"/>
        </w:rPr>
        <w:t>Tanaz</w:t>
      </w:r>
      <w:proofErr w:type="spellEnd"/>
      <w:r>
        <w:rPr>
          <w:rFonts w:ascii="Arial" w:eastAsia="Arial" w:hAnsi="Arial" w:cs="Arial"/>
          <w:color w:val="252362"/>
          <w:sz w:val="22"/>
          <w:szCs w:val="22"/>
        </w:rPr>
        <w:t xml:space="preserve"> </w:t>
      </w:r>
      <w:proofErr w:type="spellStart"/>
      <w:r>
        <w:rPr>
          <w:rFonts w:ascii="Arial" w:eastAsia="Arial" w:hAnsi="Arial" w:cs="Arial"/>
          <w:color w:val="252362"/>
          <w:sz w:val="22"/>
          <w:szCs w:val="22"/>
        </w:rPr>
        <w:t>Byramji</w:t>
      </w:r>
      <w:proofErr w:type="spellEnd"/>
      <w:r>
        <w:rPr>
          <w:rFonts w:ascii="Arial" w:eastAsia="Arial" w:hAnsi="Arial" w:cs="Arial"/>
          <w:color w:val="252362"/>
          <w:sz w:val="22"/>
          <w:szCs w:val="22"/>
        </w:rPr>
        <w:t xml:space="preserve"> of </w:t>
      </w:r>
      <w:proofErr w:type="spellStart"/>
      <w:r>
        <w:rPr>
          <w:rFonts w:ascii="Arial" w:eastAsia="Arial" w:hAnsi="Arial" w:cs="Arial"/>
          <w:color w:val="252362"/>
          <w:sz w:val="22"/>
          <w:szCs w:val="22"/>
        </w:rPr>
        <w:t>Tanaz</w:t>
      </w:r>
      <w:proofErr w:type="spellEnd"/>
      <w:r>
        <w:rPr>
          <w:rFonts w:ascii="Arial" w:eastAsia="Arial" w:hAnsi="Arial" w:cs="Arial"/>
          <w:color w:val="252362"/>
          <w:sz w:val="22"/>
          <w:szCs w:val="22"/>
        </w:rPr>
        <w:t xml:space="preserve"> Coaching and Consulting, Louise Gilbert, the Director of The Intime Collective, and Allan </w:t>
      </w:r>
      <w:proofErr w:type="spellStart"/>
      <w:r>
        <w:rPr>
          <w:rFonts w:ascii="Arial" w:eastAsia="Arial" w:hAnsi="Arial" w:cs="Arial"/>
          <w:color w:val="252362"/>
          <w:sz w:val="22"/>
          <w:szCs w:val="22"/>
        </w:rPr>
        <w:t>Gatenby</w:t>
      </w:r>
      <w:proofErr w:type="spellEnd"/>
      <w:r>
        <w:rPr>
          <w:rFonts w:ascii="Arial" w:eastAsia="Arial" w:hAnsi="Arial" w:cs="Arial"/>
          <w:color w:val="252362"/>
          <w:sz w:val="22"/>
          <w:szCs w:val="22"/>
        </w:rPr>
        <w:t xml:space="preserve"> of </w:t>
      </w:r>
      <w:proofErr w:type="spellStart"/>
      <w:r>
        <w:rPr>
          <w:rFonts w:ascii="Arial" w:eastAsia="Arial" w:hAnsi="Arial" w:cs="Arial"/>
          <w:color w:val="252362"/>
          <w:sz w:val="22"/>
          <w:szCs w:val="22"/>
        </w:rPr>
        <w:t>ACPi</w:t>
      </w:r>
      <w:proofErr w:type="spellEnd"/>
      <w:r>
        <w:rPr>
          <w:rFonts w:ascii="Arial" w:eastAsia="Arial" w:hAnsi="Arial" w:cs="Arial"/>
          <w:color w:val="252362"/>
          <w:sz w:val="22"/>
          <w:szCs w:val="22"/>
        </w:rPr>
        <w:t xml:space="preserve"> Australia – expert career practitioners and program facilitators who have collectively worked with hundreds of women.</w:t>
      </w:r>
    </w:p>
    <w:p w14:paraId="06B666AF"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 xml:space="preserve">“For so many women, returning to work or changing careers can feel challenging, confusing, or simply overwhelming,” </w:t>
      </w:r>
      <w:proofErr w:type="spellStart"/>
      <w:r>
        <w:rPr>
          <w:rFonts w:ascii="Arial" w:eastAsia="Arial" w:hAnsi="Arial" w:cs="Arial"/>
          <w:color w:val="252362"/>
          <w:sz w:val="22"/>
          <w:szCs w:val="22"/>
        </w:rPr>
        <w:t>Tanaz</w:t>
      </w:r>
      <w:proofErr w:type="spellEnd"/>
      <w:r>
        <w:rPr>
          <w:rFonts w:ascii="Arial" w:eastAsia="Arial" w:hAnsi="Arial" w:cs="Arial"/>
          <w:color w:val="252362"/>
          <w:sz w:val="22"/>
          <w:szCs w:val="22"/>
        </w:rPr>
        <w:t xml:space="preserve"> said.</w:t>
      </w:r>
    </w:p>
    <w:p w14:paraId="1E8DEF70"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 xml:space="preserve">“There are so many courses, </w:t>
      </w:r>
      <w:proofErr w:type="gramStart"/>
      <w:r>
        <w:rPr>
          <w:rFonts w:ascii="Arial" w:eastAsia="Arial" w:hAnsi="Arial" w:cs="Arial"/>
          <w:color w:val="252362"/>
          <w:sz w:val="22"/>
          <w:szCs w:val="22"/>
        </w:rPr>
        <w:t>workshops</w:t>
      </w:r>
      <w:proofErr w:type="gramEnd"/>
      <w:r>
        <w:rPr>
          <w:rFonts w:ascii="Arial" w:eastAsia="Arial" w:hAnsi="Arial" w:cs="Arial"/>
          <w:color w:val="252362"/>
          <w:sz w:val="22"/>
          <w:szCs w:val="22"/>
        </w:rPr>
        <w:t xml:space="preserve"> and coaching services out there already – and we saw a need to bring it all together into an end-to-end program for women who might be feeling unsure where to even begin.</w:t>
      </w:r>
    </w:p>
    <w:p w14:paraId="46276771"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 xml:space="preserve">“The World of Work helps women to assess their skills and experience and design a career plan that works for them, right through to exploring training opportunities and connecting with potential employers. </w:t>
      </w:r>
    </w:p>
    <w:p w14:paraId="70B82607"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 xml:space="preserve">“It's more than just a course or webinar – women will leave the program equipped with practical tools and a plan of action to succeed,” </w:t>
      </w:r>
      <w:proofErr w:type="spellStart"/>
      <w:r>
        <w:rPr>
          <w:rFonts w:ascii="Arial" w:eastAsia="Arial" w:hAnsi="Arial" w:cs="Arial"/>
          <w:color w:val="252362"/>
          <w:sz w:val="22"/>
          <w:szCs w:val="22"/>
        </w:rPr>
        <w:t>Tanaz</w:t>
      </w:r>
      <w:proofErr w:type="spellEnd"/>
      <w:r>
        <w:rPr>
          <w:rFonts w:ascii="Arial" w:eastAsia="Arial" w:hAnsi="Arial" w:cs="Arial"/>
          <w:color w:val="252362"/>
          <w:sz w:val="22"/>
          <w:szCs w:val="22"/>
        </w:rPr>
        <w:t xml:space="preserve"> said.</w:t>
      </w:r>
    </w:p>
    <w:p w14:paraId="6397BB6C"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The World of Work has been funded through the Australian Government’s National Careers Institute Partnership Grants and will initially support 500 women.</w:t>
      </w:r>
    </w:p>
    <w:p w14:paraId="4EFE1931"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 xml:space="preserve">It is delivered via an innovative online platform, </w:t>
      </w:r>
      <w:proofErr w:type="spellStart"/>
      <w:r>
        <w:rPr>
          <w:rFonts w:ascii="Arial" w:eastAsia="Arial" w:hAnsi="Arial" w:cs="Arial"/>
          <w:color w:val="252362"/>
          <w:sz w:val="22"/>
          <w:szCs w:val="22"/>
        </w:rPr>
        <w:t>Howspace</w:t>
      </w:r>
      <w:proofErr w:type="spellEnd"/>
      <w:r>
        <w:rPr>
          <w:rFonts w:ascii="Arial" w:eastAsia="Arial" w:hAnsi="Arial" w:cs="Arial"/>
          <w:color w:val="252362"/>
          <w:sz w:val="22"/>
          <w:szCs w:val="22"/>
        </w:rPr>
        <w:t>, with interactive workshops, learning activities, career coaching, and online resources that can be accessed in the participant’s own time.</w:t>
      </w:r>
    </w:p>
    <w:p w14:paraId="0519496B"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Acknowledging that every woman has different experiences and needs, the program is customised to each participant with the support of career coaches.</w:t>
      </w:r>
    </w:p>
    <w:p w14:paraId="36222E77"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lastRenderedPageBreak/>
        <w:t xml:space="preserve">With the current nationwide skills shortage, businesses are welcoming the program that aims to empower women and help increase workforce participation, “We’re partnering with some fantastic employers who are really supportive of the program and excited about the opportunity to connect with potential future employees,” Gilbert said. </w:t>
      </w:r>
    </w:p>
    <w:p w14:paraId="585D6598"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Thanks to government funding, participants pay just a $19 registration fee. The program is available to begin immediately upon registration, up until January 2023.</w:t>
      </w:r>
    </w:p>
    <w:p w14:paraId="120F544F" w14:textId="77777777" w:rsidR="00737CCD" w:rsidRDefault="00000000">
      <w:pPr>
        <w:spacing w:after="120"/>
        <w:rPr>
          <w:rFonts w:ascii="Arial" w:eastAsia="Arial" w:hAnsi="Arial" w:cs="Arial"/>
          <w:color w:val="252362"/>
          <w:sz w:val="22"/>
          <w:szCs w:val="22"/>
        </w:rPr>
      </w:pPr>
      <w:r>
        <w:rPr>
          <w:rFonts w:ascii="Arial" w:eastAsia="Arial" w:hAnsi="Arial" w:cs="Arial"/>
          <w:color w:val="252362"/>
          <w:sz w:val="22"/>
          <w:szCs w:val="22"/>
        </w:rPr>
        <w:t>“Whether you’ve taken a break to raise children, care for a family member, or you’re looking to change careers entirely, the World of Work is for you,” Gilbert said.</w:t>
      </w:r>
    </w:p>
    <w:p w14:paraId="7122173D" w14:textId="77777777" w:rsidR="00737CCD" w:rsidRDefault="00000000">
      <w:pPr>
        <w:spacing w:after="120"/>
        <w:rPr>
          <w:rFonts w:ascii="Arial" w:eastAsia="Arial" w:hAnsi="Arial" w:cs="Arial"/>
          <w:color w:val="0563C1"/>
          <w:sz w:val="22"/>
          <w:szCs w:val="22"/>
          <w:u w:val="single"/>
        </w:rPr>
      </w:pPr>
      <w:r>
        <w:rPr>
          <w:rFonts w:ascii="Arial" w:eastAsia="Arial" w:hAnsi="Arial" w:cs="Arial"/>
          <w:color w:val="252362"/>
          <w:sz w:val="22"/>
          <w:szCs w:val="22"/>
        </w:rPr>
        <w:t xml:space="preserve">Registrations are now open with limited places available. Find out more at </w:t>
      </w:r>
      <w:hyperlink r:id="rId7">
        <w:r>
          <w:rPr>
            <w:rFonts w:ascii="Arial" w:eastAsia="Arial" w:hAnsi="Arial" w:cs="Arial"/>
            <w:color w:val="0563C1"/>
            <w:sz w:val="22"/>
            <w:szCs w:val="22"/>
            <w:u w:val="single"/>
          </w:rPr>
          <w:t>worldofwork.org.au</w:t>
        </w:r>
      </w:hyperlink>
      <w:r>
        <w:rPr>
          <w:rFonts w:ascii="Arial" w:eastAsia="Arial" w:hAnsi="Arial" w:cs="Arial"/>
          <w:color w:val="0563C1"/>
          <w:sz w:val="22"/>
          <w:szCs w:val="22"/>
          <w:u w:val="single"/>
        </w:rPr>
        <w:t xml:space="preserve"> </w:t>
      </w:r>
    </w:p>
    <w:p w14:paraId="43E2765F" w14:textId="77777777" w:rsidR="00737CCD" w:rsidRDefault="00737CCD">
      <w:pPr>
        <w:spacing w:after="120"/>
        <w:rPr>
          <w:rFonts w:ascii="Campton Light" w:eastAsia="Campton Light" w:hAnsi="Campton Light" w:cs="Campton Light"/>
          <w:sz w:val="22"/>
          <w:szCs w:val="22"/>
        </w:rPr>
      </w:pPr>
    </w:p>
    <w:p w14:paraId="61E3F40D" w14:textId="77777777" w:rsidR="00737CCD" w:rsidRPr="00EC6BD7" w:rsidRDefault="00000000">
      <w:pPr>
        <w:spacing w:after="120"/>
        <w:rPr>
          <w:rFonts w:ascii="Arial" w:eastAsia="Campton Light" w:hAnsi="Arial" w:cs="Arial"/>
          <w:color w:val="252362"/>
          <w:sz w:val="22"/>
          <w:szCs w:val="22"/>
        </w:rPr>
      </w:pPr>
      <w:r w:rsidRPr="00EC6BD7">
        <w:rPr>
          <w:rFonts w:ascii="Arial" w:eastAsia="Campton Light" w:hAnsi="Arial" w:cs="Arial"/>
          <w:b/>
          <w:color w:val="252362"/>
          <w:sz w:val="22"/>
          <w:szCs w:val="22"/>
        </w:rPr>
        <w:t xml:space="preserve">Media contact: </w:t>
      </w:r>
      <w:r w:rsidRPr="00EC6BD7">
        <w:rPr>
          <w:rFonts w:ascii="Arial" w:eastAsia="Campton Light" w:hAnsi="Arial" w:cs="Arial"/>
          <w:sz w:val="22"/>
          <w:szCs w:val="22"/>
        </w:rPr>
        <w:br/>
      </w:r>
      <w:r w:rsidRPr="00EC6BD7">
        <w:rPr>
          <w:rFonts w:ascii="Arial" w:eastAsia="Campton Light" w:hAnsi="Arial" w:cs="Arial"/>
          <w:color w:val="252362"/>
          <w:sz w:val="22"/>
          <w:szCs w:val="22"/>
        </w:rPr>
        <w:t xml:space="preserve">Rebecca George </w:t>
      </w:r>
      <w:r w:rsidRPr="00EC6BD7">
        <w:rPr>
          <w:rFonts w:ascii="Arial" w:eastAsia="Campton Light" w:hAnsi="Arial" w:cs="Arial"/>
          <w:color w:val="252362"/>
          <w:sz w:val="22"/>
          <w:szCs w:val="22"/>
        </w:rPr>
        <w:br/>
      </w:r>
      <w:hyperlink r:id="rId8">
        <w:r w:rsidRPr="00EC6BD7">
          <w:rPr>
            <w:rFonts w:ascii="Arial" w:eastAsia="Campton Light" w:hAnsi="Arial" w:cs="Arial"/>
            <w:color w:val="252362"/>
            <w:sz w:val="22"/>
            <w:szCs w:val="22"/>
            <w:u w:val="single"/>
          </w:rPr>
          <w:t>becgeorge02@gmail.com</w:t>
        </w:r>
      </w:hyperlink>
      <w:r w:rsidRPr="00EC6BD7">
        <w:rPr>
          <w:rFonts w:ascii="Arial" w:eastAsia="Campton Light" w:hAnsi="Arial" w:cs="Arial"/>
          <w:color w:val="252362"/>
          <w:sz w:val="22"/>
          <w:szCs w:val="22"/>
        </w:rPr>
        <w:tab/>
      </w:r>
      <w:r w:rsidRPr="00EC6BD7">
        <w:rPr>
          <w:rFonts w:ascii="Arial" w:eastAsia="Campton Light" w:hAnsi="Arial" w:cs="Arial"/>
          <w:color w:val="252362"/>
          <w:sz w:val="22"/>
          <w:szCs w:val="22"/>
        </w:rPr>
        <w:br/>
        <w:t>0437 902 648</w:t>
      </w:r>
    </w:p>
    <w:p w14:paraId="011672E3" w14:textId="77777777" w:rsidR="00737CCD" w:rsidRDefault="00737CCD">
      <w:pPr>
        <w:spacing w:after="120"/>
        <w:rPr>
          <w:rFonts w:ascii="Campton Light" w:eastAsia="Campton Light" w:hAnsi="Campton Light" w:cs="Campton Light"/>
          <w:sz w:val="22"/>
          <w:szCs w:val="22"/>
        </w:rPr>
      </w:pPr>
    </w:p>
    <w:p w14:paraId="554231F9" w14:textId="77777777" w:rsidR="00737CCD" w:rsidRDefault="00737CCD">
      <w:pPr>
        <w:spacing w:after="120"/>
        <w:rPr>
          <w:rFonts w:ascii="Campton Light" w:eastAsia="Campton Light" w:hAnsi="Campton Light" w:cs="Campton Light"/>
          <w:sz w:val="22"/>
          <w:szCs w:val="22"/>
        </w:rPr>
      </w:pPr>
    </w:p>
    <w:p w14:paraId="6784108C" w14:textId="77777777" w:rsidR="00737CCD" w:rsidRDefault="00737CCD">
      <w:pPr>
        <w:spacing w:after="120"/>
        <w:rPr>
          <w:rFonts w:ascii="Campton Light" w:eastAsia="Campton Light" w:hAnsi="Campton Light" w:cs="Campton Light"/>
          <w:sz w:val="22"/>
          <w:szCs w:val="22"/>
        </w:rPr>
      </w:pPr>
    </w:p>
    <w:p w14:paraId="507BB029" w14:textId="77777777" w:rsidR="00737CCD" w:rsidRDefault="00737CCD">
      <w:pPr>
        <w:spacing w:after="120"/>
        <w:rPr>
          <w:rFonts w:ascii="Campton Light" w:eastAsia="Campton Light" w:hAnsi="Campton Light" w:cs="Campton Light"/>
          <w:sz w:val="22"/>
          <w:szCs w:val="22"/>
        </w:rPr>
      </w:pPr>
    </w:p>
    <w:sectPr w:rsidR="00737CCD">
      <w:headerReference w:type="default" r:id="rId9"/>
      <w:footerReference w:type="default" r:id="rId10"/>
      <w:headerReference w:type="first" r:id="rId11"/>
      <w:footerReference w:type="first" r:id="rId12"/>
      <w:pgSz w:w="11906" w:h="16838"/>
      <w:pgMar w:top="2681" w:right="1700" w:bottom="1111" w:left="1440" w:header="567" w:footer="8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B8A2" w14:textId="77777777" w:rsidR="00C257AB" w:rsidRDefault="00C257AB">
      <w:r>
        <w:separator/>
      </w:r>
    </w:p>
  </w:endnote>
  <w:endnote w:type="continuationSeparator" w:id="0">
    <w:p w14:paraId="38F19FAE" w14:textId="77777777" w:rsidR="00C257AB" w:rsidRDefault="00C2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pton 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8E6F" w14:textId="77777777" w:rsidR="00737CCD" w:rsidRDefault="00737CCD">
    <w:pPr>
      <w:spacing w:after="120"/>
      <w:rPr>
        <w:rFonts w:ascii="Campton Light" w:eastAsia="Campton Light" w:hAnsi="Campton Light" w:cs="Campton Light"/>
        <w:sz w:val="14"/>
        <w:szCs w:val="14"/>
      </w:rPr>
    </w:pPr>
  </w:p>
  <w:p w14:paraId="3D63160F" w14:textId="77777777" w:rsidR="00737CCD" w:rsidRDefault="00000000">
    <w:pPr>
      <w:spacing w:after="120"/>
      <w:rPr>
        <w:rFonts w:ascii="Campton Light" w:eastAsia="Campton Light" w:hAnsi="Campton Light" w:cs="Campton Light"/>
        <w:sz w:val="14"/>
        <w:szCs w:val="14"/>
      </w:rPr>
    </w:pPr>
    <w:r>
      <w:rPr>
        <w:rFonts w:ascii="Campton Light" w:eastAsia="Campton Light" w:hAnsi="Campton Light" w:cs="Campton Light"/>
        <w:sz w:val="14"/>
        <w:szCs w:val="14"/>
      </w:rPr>
      <w:t>*ABS data released February 2021 https://www.abs.gov.au/articles/changing-female-employment-over-time</w:t>
    </w:r>
  </w:p>
  <w:p w14:paraId="1D522035" w14:textId="77777777" w:rsidR="00737CCD" w:rsidRDefault="00000000">
    <w:pPr>
      <w:spacing w:after="120"/>
      <w:rPr>
        <w:sz w:val="16"/>
        <w:szCs w:val="16"/>
      </w:rPr>
    </w:pPr>
    <w:r>
      <w:rPr>
        <w:rFonts w:ascii="Campton Light" w:eastAsia="Campton Light" w:hAnsi="Campton Light" w:cs="Campton Light"/>
        <w:sz w:val="14"/>
        <w:szCs w:val="14"/>
      </w:rPr>
      <w:t>** ABS data released February 2022 https://www.abs.gov.au/statistics/labour/employment-and-unemployment/potential-workers/feb-2022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3506" w14:textId="77777777" w:rsidR="00737CCD" w:rsidRDefault="00737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6991" w14:textId="77777777" w:rsidR="00C257AB" w:rsidRDefault="00C257AB">
      <w:r>
        <w:separator/>
      </w:r>
    </w:p>
  </w:footnote>
  <w:footnote w:type="continuationSeparator" w:id="0">
    <w:p w14:paraId="26FCCD7B" w14:textId="77777777" w:rsidR="00C257AB" w:rsidRDefault="00C2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63CD1" w14:textId="77777777" w:rsidR="00737CCD" w:rsidRDefault="00000000">
    <w:pPr>
      <w:tabs>
        <w:tab w:val="center" w:pos="4513"/>
        <w:tab w:val="right" w:pos="9026"/>
      </w:tabs>
      <w:spacing w:after="120"/>
      <w:rPr>
        <w:rFonts w:ascii="Campton Light" w:eastAsia="Campton Light" w:hAnsi="Campton Light" w:cs="Campton Light"/>
        <w:color w:val="252362"/>
        <w:sz w:val="22"/>
        <w:szCs w:val="22"/>
      </w:rPr>
    </w:pPr>
    <w:r>
      <w:rPr>
        <w:noProof/>
      </w:rPr>
      <w:drawing>
        <wp:anchor distT="0" distB="0" distL="114300" distR="114300" simplePos="0" relativeHeight="251658240" behindDoc="0" locked="0" layoutInCell="1" hidden="0" allowOverlap="1" wp14:anchorId="7A254E52" wp14:editId="043AABE9">
          <wp:simplePos x="0" y="0"/>
          <wp:positionH relativeFrom="column">
            <wp:posOffset>-934063</wp:posOffset>
          </wp:positionH>
          <wp:positionV relativeFrom="paragraph">
            <wp:posOffset>-369875</wp:posOffset>
          </wp:positionV>
          <wp:extent cx="7609289" cy="1649831"/>
          <wp:effectExtent l="0" t="0" r="0" b="0"/>
          <wp:wrapNone/>
          <wp:docPr id="5"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1"/>
                  <a:srcRect/>
                  <a:stretch>
                    <a:fillRect/>
                  </a:stretch>
                </pic:blipFill>
                <pic:spPr>
                  <a:xfrm>
                    <a:off x="0" y="0"/>
                    <a:ext cx="7609289" cy="1649831"/>
                  </a:xfrm>
                  <a:prstGeom prst="rect">
                    <a:avLst/>
                  </a:prstGeom>
                  <a:ln/>
                </pic:spPr>
              </pic:pic>
            </a:graphicData>
          </a:graphic>
        </wp:anchor>
      </w:drawing>
    </w:r>
  </w:p>
  <w:p w14:paraId="69A7F331" w14:textId="77777777" w:rsidR="00737CCD" w:rsidRDefault="00737CCD">
    <w:pPr>
      <w:pBdr>
        <w:top w:val="nil"/>
        <w:left w:val="nil"/>
        <w:bottom w:val="nil"/>
        <w:right w:val="nil"/>
        <w:between w:val="nil"/>
      </w:pBd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B0F8" w14:textId="77777777" w:rsidR="00737CCD" w:rsidRDefault="00000000">
    <w:r>
      <w:rPr>
        <w:noProof/>
      </w:rPr>
      <w:drawing>
        <wp:anchor distT="0" distB="0" distL="114300" distR="114300" simplePos="0" relativeHeight="251659264" behindDoc="0" locked="0" layoutInCell="1" hidden="0" allowOverlap="1" wp14:anchorId="59E1B088" wp14:editId="423E35A9">
          <wp:simplePos x="0" y="0"/>
          <wp:positionH relativeFrom="column">
            <wp:posOffset>-936624</wp:posOffset>
          </wp:positionH>
          <wp:positionV relativeFrom="paragraph">
            <wp:posOffset>-352424</wp:posOffset>
          </wp:positionV>
          <wp:extent cx="7609289" cy="1649831"/>
          <wp:effectExtent l="0" t="0" r="0" b="0"/>
          <wp:wrapNone/>
          <wp:docPr id="6" name="image1.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10;&#10;Description automatically generated"/>
                  <pic:cNvPicPr preferRelativeResize="0"/>
                </pic:nvPicPr>
                <pic:blipFill>
                  <a:blip r:embed="rId1"/>
                  <a:srcRect/>
                  <a:stretch>
                    <a:fillRect/>
                  </a:stretch>
                </pic:blipFill>
                <pic:spPr>
                  <a:xfrm>
                    <a:off x="0" y="0"/>
                    <a:ext cx="7609289" cy="164983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CD"/>
    <w:rsid w:val="00737CCD"/>
    <w:rsid w:val="00C257AB"/>
    <w:rsid w:val="00EC6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8325"/>
  <w15:docId w15:val="{6ACA77AA-A3BC-431A-95B9-4F06707B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82DB9"/>
    <w:pPr>
      <w:tabs>
        <w:tab w:val="center" w:pos="4513"/>
        <w:tab w:val="right" w:pos="9026"/>
      </w:tabs>
    </w:pPr>
  </w:style>
  <w:style w:type="character" w:customStyle="1" w:styleId="HeaderChar">
    <w:name w:val="Header Char"/>
    <w:basedOn w:val="DefaultParagraphFont"/>
    <w:link w:val="Header"/>
    <w:uiPriority w:val="99"/>
    <w:rsid w:val="00782DB9"/>
  </w:style>
  <w:style w:type="paragraph" w:styleId="Footer">
    <w:name w:val="footer"/>
    <w:basedOn w:val="Normal"/>
    <w:link w:val="FooterChar"/>
    <w:uiPriority w:val="99"/>
    <w:unhideWhenUsed/>
    <w:rsid w:val="00782DB9"/>
    <w:pPr>
      <w:tabs>
        <w:tab w:val="center" w:pos="4513"/>
        <w:tab w:val="right" w:pos="9026"/>
      </w:tabs>
    </w:pPr>
  </w:style>
  <w:style w:type="character" w:customStyle="1" w:styleId="FooterChar">
    <w:name w:val="Footer Char"/>
    <w:basedOn w:val="DefaultParagraphFont"/>
    <w:link w:val="Footer"/>
    <w:uiPriority w:val="99"/>
    <w:rsid w:val="00782DB9"/>
  </w:style>
  <w:style w:type="paragraph" w:styleId="NormalWeb">
    <w:name w:val="Normal (Web)"/>
    <w:basedOn w:val="Normal"/>
    <w:uiPriority w:val="99"/>
    <w:unhideWhenUsed/>
    <w:rsid w:val="00EA1D4F"/>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F131F"/>
    <w:rPr>
      <w:color w:val="0563C1" w:themeColor="hyperlink"/>
      <w:u w:val="single"/>
    </w:rPr>
  </w:style>
  <w:style w:type="character" w:styleId="UnresolvedMention">
    <w:name w:val="Unresolved Mention"/>
    <w:basedOn w:val="DefaultParagraphFont"/>
    <w:uiPriority w:val="99"/>
    <w:semiHidden/>
    <w:unhideWhenUsed/>
    <w:rsid w:val="005F131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ecgeorge02@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ofwork.org.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rlISLbsTuWW4PJPY2JsUG/LA==">AMUW2mWc4Qk7qPm2ATJn4nGgHKSiB9KoV17fGm43xSEWAmmHVqjNFgNW2XTVSJlTQarutT26ToX7nLViUsBM8g1ASi7xrQAoQY6y9adRITfSVoh3PFeMI6Q=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O'Connor</dc:creator>
  <cp:lastModifiedBy>Rebecca George</cp:lastModifiedBy>
  <cp:revision>2</cp:revision>
  <dcterms:created xsi:type="dcterms:W3CDTF">2022-08-03T05:32:00Z</dcterms:created>
  <dcterms:modified xsi:type="dcterms:W3CDTF">2022-11-08T03:10:00Z</dcterms:modified>
</cp:coreProperties>
</file>