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5EC" w:rsidRDefault="003F45EC" w:rsidP="003F45EC">
      <w:pPr>
        <w:rPr>
          <w:rFonts w:ascii="Times New Roman" w:hAnsi="Times New Roman" w:cs="Times New Roman"/>
          <w:b/>
          <w:sz w:val="28"/>
          <w:szCs w:val="28"/>
        </w:rPr>
      </w:pPr>
      <w:r w:rsidRPr="003F45EC">
        <w:rPr>
          <w:rFonts w:ascii="Times New Roman" w:hAnsi="Times New Roman" w:cs="Times New Roman"/>
          <w:b/>
          <w:sz w:val="28"/>
          <w:szCs w:val="28"/>
        </w:rPr>
        <w:t xml:space="preserve">Amidst Environmental Hazards, Millennials to keep the hopes high for Apparel Re-Commerce Market, reaching ~US$ 652.3 </w:t>
      </w:r>
      <w:proofErr w:type="spellStart"/>
      <w:r w:rsidRPr="003F45EC">
        <w:rPr>
          <w:rFonts w:ascii="Times New Roman" w:hAnsi="Times New Roman" w:cs="Times New Roman"/>
          <w:b/>
          <w:sz w:val="28"/>
          <w:szCs w:val="28"/>
        </w:rPr>
        <w:t>Bn</w:t>
      </w:r>
      <w:proofErr w:type="spellEnd"/>
      <w:r w:rsidRPr="003F45EC">
        <w:rPr>
          <w:rFonts w:ascii="Times New Roman" w:hAnsi="Times New Roman" w:cs="Times New Roman"/>
          <w:b/>
          <w:sz w:val="28"/>
          <w:szCs w:val="28"/>
        </w:rPr>
        <w:t xml:space="preserve"> by the year 2032 at a CAGR of ~24.6% in the forecast period 2022-32</w:t>
      </w:r>
    </w:p>
    <w:p w:rsidR="00833EF8" w:rsidRPr="003F45EC" w:rsidRDefault="00833EF8" w:rsidP="003F45EC">
      <w:pPr>
        <w:rPr>
          <w:rFonts w:ascii="Times New Roman" w:hAnsi="Times New Roman" w:cs="Times New Roman"/>
          <w:b/>
          <w:sz w:val="28"/>
          <w:szCs w:val="28"/>
        </w:rPr>
      </w:pPr>
      <w:r w:rsidRPr="00833EF8">
        <w:rPr>
          <w:rFonts w:ascii="Times New Roman" w:hAnsi="Times New Roman" w:cs="Times New Roman"/>
          <w:b/>
          <w:sz w:val="28"/>
          <w:szCs w:val="28"/>
        </w:rPr>
        <w:t>Millennials and Generation Z in US are interested in second hand apparel products. There are multiple fashion trends in US and updating wardrobe time to time is necessary.</w:t>
      </w:r>
      <w:r w:rsidRPr="00833EF8">
        <w:rPr>
          <w:rFonts w:ascii="Segoe UI" w:hAnsi="Segoe UI" w:cs="Segoe UI"/>
          <w:color w:val="333333"/>
          <w:shd w:val="clear" w:color="auto" w:fill="FFFFFF"/>
        </w:rPr>
        <w:t xml:space="preserve"> </w:t>
      </w:r>
      <w:r w:rsidRPr="00833EF8">
        <w:rPr>
          <w:rFonts w:ascii="Times New Roman" w:hAnsi="Times New Roman" w:cs="Times New Roman"/>
          <w:b/>
          <w:sz w:val="28"/>
          <w:szCs w:val="28"/>
        </w:rPr>
        <w:t>China is the biggest manufacturer and consumer of the apparel and accessories products. There are number of brands and counterfeit manufacturers, providing different products to the customers.</w:t>
      </w:r>
    </w:p>
    <w:p w:rsidR="003F45EC" w:rsidRPr="003F45EC" w:rsidRDefault="00833EF8" w:rsidP="003F45EC">
      <w:pPr>
        <w:rPr>
          <w:rFonts w:ascii="Times New Roman" w:hAnsi="Times New Roman" w:cs="Times New Roman"/>
          <w:sz w:val="28"/>
          <w:szCs w:val="28"/>
        </w:rPr>
      </w:pPr>
      <w:r w:rsidRPr="00BA11DD">
        <w:rPr>
          <w:rFonts w:ascii="Times New Roman" w:hAnsi="Times New Roman" w:cs="Times New Roman"/>
          <w:b/>
          <w:bCs/>
          <w:sz w:val="28"/>
          <w:szCs w:val="28"/>
        </w:rPr>
        <w:t>NEWARK, Del:</w:t>
      </w:r>
      <w:r w:rsidRPr="00BA11DD">
        <w:rPr>
          <w:rFonts w:ascii="Times New Roman" w:hAnsi="Times New Roman" w:cs="Times New Roman"/>
          <w:sz w:val="28"/>
          <w:szCs w:val="28"/>
          <w:lang w:val="en-GB"/>
        </w:rPr>
        <w:t xml:space="preserve"> </w:t>
      </w:r>
      <w:r w:rsidRPr="00BA11DD">
        <w:rPr>
          <w:rFonts w:ascii="Times New Roman" w:hAnsi="Times New Roman" w:cs="Times New Roman"/>
          <w:sz w:val="28"/>
          <w:szCs w:val="28"/>
          <w:lang w:val="en-US"/>
        </w:rPr>
        <w:t xml:space="preserve">According to Future Market Insights, the </w:t>
      </w:r>
      <w:r w:rsidR="003F45EC" w:rsidRPr="003F45EC">
        <w:rPr>
          <w:rFonts w:ascii="Times New Roman" w:hAnsi="Times New Roman" w:cs="Times New Roman"/>
          <w:sz w:val="28"/>
          <w:szCs w:val="28"/>
        </w:rPr>
        <w:t xml:space="preserve">global </w:t>
      </w:r>
      <w:hyperlink r:id="rId5" w:history="1">
        <w:r w:rsidR="003F45EC" w:rsidRPr="00833EF8">
          <w:rPr>
            <w:rStyle w:val="Hyperlink"/>
            <w:rFonts w:ascii="Times New Roman" w:hAnsi="Times New Roman" w:cs="Times New Roman"/>
            <w:sz w:val="28"/>
            <w:szCs w:val="28"/>
          </w:rPr>
          <w:t>apparel re-commerce market</w:t>
        </w:r>
      </w:hyperlink>
      <w:r w:rsidR="003F45EC" w:rsidRPr="003F45EC">
        <w:rPr>
          <w:rFonts w:ascii="Times New Roman" w:hAnsi="Times New Roman" w:cs="Times New Roman"/>
          <w:sz w:val="28"/>
          <w:szCs w:val="28"/>
        </w:rPr>
        <w:t xml:space="preserve"> stands at ~US$ 72.12 </w:t>
      </w:r>
      <w:proofErr w:type="spellStart"/>
      <w:r w:rsidR="003F45EC" w:rsidRPr="003F45EC">
        <w:rPr>
          <w:rFonts w:ascii="Times New Roman" w:hAnsi="Times New Roman" w:cs="Times New Roman"/>
          <w:sz w:val="28"/>
          <w:szCs w:val="28"/>
        </w:rPr>
        <w:t>Bn</w:t>
      </w:r>
      <w:proofErr w:type="spellEnd"/>
      <w:r w:rsidR="003F45EC" w:rsidRPr="003F45EC">
        <w:rPr>
          <w:rFonts w:ascii="Times New Roman" w:hAnsi="Times New Roman" w:cs="Times New Roman"/>
          <w:sz w:val="28"/>
          <w:szCs w:val="28"/>
        </w:rPr>
        <w:t xml:space="preserve"> as of now and is expected to reach ~US$ 652.3 </w:t>
      </w:r>
      <w:proofErr w:type="spellStart"/>
      <w:r w:rsidR="003F45EC" w:rsidRPr="003F45EC">
        <w:rPr>
          <w:rFonts w:ascii="Times New Roman" w:hAnsi="Times New Roman" w:cs="Times New Roman"/>
          <w:sz w:val="28"/>
          <w:szCs w:val="28"/>
        </w:rPr>
        <w:t>Bn</w:t>
      </w:r>
      <w:proofErr w:type="spellEnd"/>
      <w:r w:rsidR="003F45EC" w:rsidRPr="003F45EC">
        <w:rPr>
          <w:rFonts w:ascii="Times New Roman" w:hAnsi="Times New Roman" w:cs="Times New Roman"/>
          <w:sz w:val="28"/>
          <w:szCs w:val="28"/>
        </w:rPr>
        <w:t xml:space="preserve"> by the year 2032 at a whopping CAGR of ~24.6% between 2022 and 2032.</w:t>
      </w:r>
    </w:p>
    <w:p w:rsidR="00833EF8"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 xml:space="preserve">e-Commerce vertical is growing at a noteworthy rate and the scenario is expected to continue even going forward. The last few years have seen growth of the re-commerce sector by leaps and bounds. </w:t>
      </w:r>
    </w:p>
    <w:p w:rsidR="003F45EC" w:rsidRPr="003F45EC"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 xml:space="preserve">This could be credited to the fact that online marketplaces enable buying and selling of ‘used clothing’ at just a click. There are innumerable websites and the online e-Commerce websites providing apparels and their accessories to the customers. </w:t>
      </w:r>
    </w:p>
    <w:p w:rsidR="00833EF8"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 xml:space="preserve">The re-commerce market is actually opening doors for customers to lay their hands on fashion accessories and clothes, that too, without venturing out of the houses. Online websites have information about the products along with images. They could be used as a reference to decide upon </w:t>
      </w:r>
      <w:proofErr w:type="spellStart"/>
      <w:r w:rsidRPr="003F45EC">
        <w:rPr>
          <w:rFonts w:ascii="Times New Roman" w:hAnsi="Times New Roman" w:cs="Times New Roman"/>
          <w:sz w:val="28"/>
          <w:szCs w:val="28"/>
        </w:rPr>
        <w:t>color</w:t>
      </w:r>
      <w:proofErr w:type="spellEnd"/>
      <w:r w:rsidRPr="003F45EC">
        <w:rPr>
          <w:rFonts w:ascii="Times New Roman" w:hAnsi="Times New Roman" w:cs="Times New Roman"/>
          <w:sz w:val="28"/>
          <w:szCs w:val="28"/>
        </w:rPr>
        <w:t xml:space="preserve">, size, and the other choices regarding the products desired. </w:t>
      </w:r>
    </w:p>
    <w:p w:rsidR="003F45EC" w:rsidRPr="003F45EC"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 xml:space="preserve">There are also peer-to-peer marketplaces, through which customers are able to compare costs of similar products over diverse websites or marketplaces. Apart from simplicity in shopping, the customers could also connect to seller on direct basis and get their doubts clarified. </w:t>
      </w:r>
    </w:p>
    <w:p w:rsidR="003F45EC"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Demand and supply of season-specific accessories and apparel, growing popularity of the branded apparel, and growing penetration of the customers (millennials, in particular) are likely to keep the cash registers ringing for apparel re-commerce market in the forecast period.</w:t>
      </w:r>
    </w:p>
    <w:p w:rsidR="00833EF8" w:rsidRPr="00833EF8" w:rsidRDefault="00833EF8" w:rsidP="003F45EC">
      <w:pPr>
        <w:rPr>
          <w:bCs/>
          <w:sz w:val="28"/>
          <w:szCs w:val="28"/>
        </w:rPr>
      </w:pPr>
      <w:r>
        <w:rPr>
          <w:b/>
          <w:bCs/>
          <w:sz w:val="28"/>
          <w:szCs w:val="28"/>
        </w:rPr>
        <w:t>Request a Report Sample to Gain Comprehensive I</w:t>
      </w:r>
      <w:r w:rsidRPr="009A0666">
        <w:rPr>
          <w:b/>
          <w:bCs/>
          <w:sz w:val="28"/>
          <w:szCs w:val="28"/>
        </w:rPr>
        <w:t>nsights</w:t>
      </w:r>
      <w:r>
        <w:rPr>
          <w:b/>
          <w:bCs/>
          <w:sz w:val="28"/>
          <w:szCs w:val="28"/>
        </w:rPr>
        <w:t>@</w:t>
      </w:r>
      <w:r>
        <w:rPr>
          <w:b/>
          <w:bCs/>
          <w:sz w:val="28"/>
          <w:szCs w:val="28"/>
        </w:rPr>
        <w:br/>
      </w:r>
      <w:hyperlink r:id="rId6" w:history="1">
        <w:r w:rsidRPr="00376345">
          <w:rPr>
            <w:rStyle w:val="Hyperlink"/>
            <w:bCs/>
            <w:sz w:val="28"/>
            <w:szCs w:val="28"/>
          </w:rPr>
          <w:t>https://www.futuremarketinsights.com/reports/sample/rep-gb-7922</w:t>
        </w:r>
      </w:hyperlink>
      <w:r>
        <w:rPr>
          <w:bCs/>
          <w:sz w:val="28"/>
          <w:szCs w:val="28"/>
        </w:rPr>
        <w:t xml:space="preserve">                                </w:t>
      </w:r>
    </w:p>
    <w:p w:rsidR="00833EF8" w:rsidRDefault="003F45EC" w:rsidP="003F45EC">
      <w:pPr>
        <w:rPr>
          <w:rFonts w:ascii="Times New Roman" w:hAnsi="Times New Roman" w:cs="Times New Roman"/>
          <w:sz w:val="28"/>
          <w:szCs w:val="28"/>
        </w:rPr>
      </w:pPr>
      <w:r w:rsidRPr="003F45EC">
        <w:rPr>
          <w:rFonts w:ascii="Times New Roman" w:hAnsi="Times New Roman" w:cs="Times New Roman"/>
          <w:sz w:val="28"/>
          <w:szCs w:val="28"/>
        </w:rPr>
        <w:lastRenderedPageBreak/>
        <w:t>At the same time, the fact that apparel re-commerce market is subject to lack on the part of brand loyalty can’t be ruled out. Though various brands are trying hard to see that customers don’t switch to the other brand, the tendency still persists. Also, certain products are made available by the counterfeit producers. They are cost-effective, but not up to the mark as far as quality is concerned. Return policies are also being exploited by the customers.</w:t>
      </w:r>
    </w:p>
    <w:p w:rsidR="003F45EC" w:rsidRPr="003F45EC"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Generally, 30-day return policy is followed. Customers use the product and then return them. This dilutes the aesthetic appeal. These factors could hamper the apparel re-commerce market going forward. Future Market Insights has walked through these facts with future perspectives in the latest market study entitled ‘Apparel Re-Commerce Market’, through its dedicated team of analysts and consultants.</w:t>
      </w:r>
    </w:p>
    <w:p w:rsidR="003F45EC" w:rsidRPr="003F45EC" w:rsidRDefault="003F45EC" w:rsidP="003F45EC">
      <w:pPr>
        <w:rPr>
          <w:rFonts w:ascii="Times New Roman" w:hAnsi="Times New Roman" w:cs="Times New Roman"/>
          <w:b/>
          <w:sz w:val="28"/>
          <w:szCs w:val="28"/>
        </w:rPr>
      </w:pPr>
      <w:r w:rsidRPr="003F45EC">
        <w:rPr>
          <w:rFonts w:ascii="Times New Roman" w:hAnsi="Times New Roman" w:cs="Times New Roman"/>
          <w:b/>
          <w:sz w:val="28"/>
          <w:szCs w:val="28"/>
        </w:rPr>
        <w:t>Key Takeaways from Apparel Re-Commerce Market</w:t>
      </w:r>
    </w:p>
    <w:p w:rsidR="003F45EC" w:rsidRPr="003F45EC" w:rsidRDefault="003F45EC" w:rsidP="003F45EC">
      <w:pPr>
        <w:numPr>
          <w:ilvl w:val="0"/>
          <w:numId w:val="3"/>
        </w:numPr>
        <w:rPr>
          <w:rFonts w:ascii="Times New Roman" w:hAnsi="Times New Roman" w:cs="Times New Roman"/>
          <w:sz w:val="28"/>
          <w:szCs w:val="28"/>
        </w:rPr>
      </w:pPr>
      <w:r w:rsidRPr="003F45EC">
        <w:rPr>
          <w:rFonts w:ascii="Times New Roman" w:hAnsi="Times New Roman" w:cs="Times New Roman"/>
          <w:sz w:val="28"/>
          <w:szCs w:val="28"/>
        </w:rPr>
        <w:t>North America holds the largest market share. This could be reasoned with the fact that millennials all across the US are more into adoption of second-hand apparel products. The good part is that not only fashion and apparel products, but also are luxury products available for resale in these marketplaces. Europe stands second on this count.</w:t>
      </w:r>
    </w:p>
    <w:p w:rsidR="003F45EC" w:rsidRDefault="003F45EC" w:rsidP="003F45EC">
      <w:pPr>
        <w:numPr>
          <w:ilvl w:val="0"/>
          <w:numId w:val="3"/>
        </w:numPr>
        <w:rPr>
          <w:rFonts w:ascii="Times New Roman" w:hAnsi="Times New Roman" w:cs="Times New Roman"/>
          <w:sz w:val="28"/>
          <w:szCs w:val="28"/>
        </w:rPr>
      </w:pPr>
      <w:r w:rsidRPr="003F45EC">
        <w:rPr>
          <w:rFonts w:ascii="Times New Roman" w:hAnsi="Times New Roman" w:cs="Times New Roman"/>
          <w:sz w:val="28"/>
          <w:szCs w:val="28"/>
        </w:rPr>
        <w:t xml:space="preserve">Coming to the Asia-Pacific, China comes across as the largest producer as well as consumer of apparel and the accessories. However, Indians are more inclined toward apparel re-commerce. The Chinese are not much into it. They prefer brand new apparels. </w:t>
      </w:r>
    </w:p>
    <w:p w:rsidR="00833EF8" w:rsidRPr="00B5551F" w:rsidRDefault="00833EF8" w:rsidP="00833EF8">
      <w:pPr>
        <w:rPr>
          <w:bCs/>
          <w:sz w:val="28"/>
          <w:szCs w:val="28"/>
        </w:rPr>
      </w:pPr>
      <w:r>
        <w:rPr>
          <w:rFonts w:ascii="Segoe UI" w:hAnsi="Segoe UI" w:cs="Segoe UI"/>
          <w:b/>
          <w:bCs/>
          <w:color w:val="242424"/>
          <w:sz w:val="28"/>
          <w:szCs w:val="28"/>
          <w:shd w:val="clear" w:color="auto" w:fill="FFFFFF"/>
        </w:rPr>
        <w:t>Get Your C</w:t>
      </w:r>
      <w:r w:rsidRPr="00CE43D5">
        <w:rPr>
          <w:rFonts w:ascii="Segoe UI" w:hAnsi="Segoe UI" w:cs="Segoe UI"/>
          <w:b/>
          <w:bCs/>
          <w:color w:val="242424"/>
          <w:sz w:val="28"/>
          <w:szCs w:val="28"/>
          <w:shd w:val="clear" w:color="auto" w:fill="FFFFFF"/>
        </w:rPr>
        <w:t xml:space="preserve">omprehensive </w:t>
      </w:r>
      <w:r>
        <w:rPr>
          <w:rFonts w:ascii="Segoe UI" w:hAnsi="Segoe UI" w:cs="Segoe UI"/>
          <w:b/>
          <w:bCs/>
          <w:color w:val="242424"/>
          <w:sz w:val="28"/>
          <w:szCs w:val="28"/>
          <w:shd w:val="clear" w:color="auto" w:fill="FFFFFF"/>
        </w:rPr>
        <w:t>Brochure@</w:t>
      </w:r>
      <w:r>
        <w:rPr>
          <w:rFonts w:ascii="Segoe UI" w:hAnsi="Segoe UI" w:cs="Segoe UI"/>
          <w:color w:val="242424"/>
          <w:shd w:val="clear" w:color="auto" w:fill="FFFFFF"/>
        </w:rPr>
        <w:br/>
      </w:r>
      <w:hyperlink r:id="rId7" w:history="1">
        <w:r w:rsidRPr="00376345">
          <w:rPr>
            <w:rStyle w:val="Hyperlink"/>
            <w:rFonts w:ascii="Segoe UI" w:hAnsi="Segoe UI" w:cs="Segoe UI"/>
            <w:shd w:val="clear" w:color="auto" w:fill="FFFFFF"/>
          </w:rPr>
          <w:t>https://www.futuremarketinsights.com/reports/brochure/rep-gb-7922</w:t>
        </w:r>
      </w:hyperlink>
      <w:r>
        <w:rPr>
          <w:rFonts w:ascii="Segoe UI" w:hAnsi="Segoe UI" w:cs="Segoe UI"/>
          <w:shd w:val="clear" w:color="auto" w:fill="FFFFFF"/>
        </w:rPr>
        <w:t xml:space="preserve">                                                                                          </w:t>
      </w:r>
      <w:r>
        <w:t xml:space="preserve">     </w:t>
      </w:r>
    </w:p>
    <w:p w:rsidR="003F45EC" w:rsidRPr="003F45EC" w:rsidRDefault="003F45EC" w:rsidP="003F45EC">
      <w:pPr>
        <w:rPr>
          <w:rFonts w:ascii="Times New Roman" w:hAnsi="Times New Roman" w:cs="Times New Roman"/>
          <w:b/>
          <w:sz w:val="28"/>
          <w:szCs w:val="28"/>
        </w:rPr>
      </w:pPr>
      <w:r w:rsidRPr="003F45EC">
        <w:rPr>
          <w:rFonts w:ascii="Times New Roman" w:hAnsi="Times New Roman" w:cs="Times New Roman"/>
          <w:b/>
          <w:sz w:val="28"/>
          <w:szCs w:val="28"/>
        </w:rPr>
        <w:t>Competitive Landscape</w:t>
      </w:r>
    </w:p>
    <w:p w:rsidR="003F45EC" w:rsidRPr="003F45EC" w:rsidRDefault="003F45EC" w:rsidP="003F45EC">
      <w:pPr>
        <w:numPr>
          <w:ilvl w:val="0"/>
          <w:numId w:val="2"/>
        </w:numPr>
        <w:rPr>
          <w:rFonts w:ascii="Times New Roman" w:hAnsi="Times New Roman" w:cs="Times New Roman"/>
          <w:sz w:val="28"/>
          <w:szCs w:val="28"/>
        </w:rPr>
      </w:pPr>
      <w:proofErr w:type="spellStart"/>
      <w:r w:rsidRPr="003F45EC">
        <w:rPr>
          <w:rFonts w:ascii="Times New Roman" w:hAnsi="Times New Roman" w:cs="Times New Roman"/>
          <w:sz w:val="28"/>
          <w:szCs w:val="28"/>
        </w:rPr>
        <w:t>Vestiaire</w:t>
      </w:r>
      <w:proofErr w:type="spellEnd"/>
      <w:r w:rsidRPr="003F45EC">
        <w:rPr>
          <w:rFonts w:ascii="Times New Roman" w:hAnsi="Times New Roman" w:cs="Times New Roman"/>
          <w:sz w:val="28"/>
          <w:szCs w:val="28"/>
        </w:rPr>
        <w:t xml:space="preserve"> Collective (a well-known second-hand market for apparel), relaunched the brand identity in March 2022. The motto is ‘Long Live Fashion’. Along these lines, they did table five icon puppets, thereby promoting usage of pre-loved clothing along with depicting community’s diversity. The other reason is that of spreading awareness regarding environmental hazards related to throwing away the clothes.</w:t>
      </w:r>
    </w:p>
    <w:p w:rsidR="003F45EC" w:rsidRDefault="003F45EC" w:rsidP="003F45EC">
      <w:pPr>
        <w:numPr>
          <w:ilvl w:val="0"/>
          <w:numId w:val="2"/>
        </w:numPr>
        <w:rPr>
          <w:rFonts w:ascii="Times New Roman" w:hAnsi="Times New Roman" w:cs="Times New Roman"/>
          <w:sz w:val="28"/>
          <w:szCs w:val="28"/>
        </w:rPr>
      </w:pPr>
      <w:proofErr w:type="spellStart"/>
      <w:r w:rsidRPr="003F45EC">
        <w:rPr>
          <w:rFonts w:ascii="Times New Roman" w:hAnsi="Times New Roman" w:cs="Times New Roman"/>
          <w:sz w:val="28"/>
          <w:szCs w:val="28"/>
        </w:rPr>
        <w:t>Realreal</w:t>
      </w:r>
      <w:proofErr w:type="spellEnd"/>
      <w:r w:rsidRPr="003F45EC">
        <w:rPr>
          <w:rFonts w:ascii="Times New Roman" w:hAnsi="Times New Roman" w:cs="Times New Roman"/>
          <w:sz w:val="28"/>
          <w:szCs w:val="28"/>
        </w:rPr>
        <w:t xml:space="preserve"> (one of the authentic online markets for luxury goods), of late, came up with sustainability calculator. It shows effect of resale on the part of products such as </w:t>
      </w:r>
      <w:proofErr w:type="spellStart"/>
      <w:r w:rsidRPr="003F45EC">
        <w:rPr>
          <w:rFonts w:ascii="Times New Roman" w:hAnsi="Times New Roman" w:cs="Times New Roman"/>
          <w:sz w:val="28"/>
          <w:szCs w:val="28"/>
        </w:rPr>
        <w:t>jewelry</w:t>
      </w:r>
      <w:proofErr w:type="spellEnd"/>
      <w:r w:rsidRPr="003F45EC">
        <w:rPr>
          <w:rFonts w:ascii="Times New Roman" w:hAnsi="Times New Roman" w:cs="Times New Roman"/>
          <w:sz w:val="28"/>
          <w:szCs w:val="28"/>
        </w:rPr>
        <w:t xml:space="preserve">, handbags, and several others. It also goes further to calculate water footprint reduction and carbon emission </w:t>
      </w:r>
      <w:r w:rsidRPr="003F45EC">
        <w:rPr>
          <w:rFonts w:ascii="Times New Roman" w:hAnsi="Times New Roman" w:cs="Times New Roman"/>
          <w:sz w:val="28"/>
          <w:szCs w:val="28"/>
        </w:rPr>
        <w:lastRenderedPageBreak/>
        <w:t>resulting out of resale of specific products, thereby indicating the positive effects of the second-hand products.</w:t>
      </w:r>
    </w:p>
    <w:p w:rsidR="003F45EC" w:rsidRPr="003F45EC" w:rsidRDefault="003F45EC" w:rsidP="003F45EC">
      <w:pPr>
        <w:rPr>
          <w:rFonts w:ascii="Times New Roman" w:hAnsi="Times New Roman" w:cs="Times New Roman"/>
          <w:sz w:val="28"/>
          <w:szCs w:val="28"/>
          <w:lang w:val="en-US"/>
        </w:rPr>
      </w:pPr>
      <w:r w:rsidRPr="003F45EC">
        <w:rPr>
          <w:rFonts w:ascii="Times New Roman" w:hAnsi="Times New Roman" w:cs="Times New Roman"/>
          <w:sz w:val="28"/>
          <w:szCs w:val="28"/>
        </w:rPr>
        <w:t xml:space="preserve">“With online apparel stores in expansion mode, the global apparel re-commerce market is expected to witness </w:t>
      </w:r>
      <w:proofErr w:type="spellStart"/>
      <w:r w:rsidRPr="003F45EC">
        <w:rPr>
          <w:rFonts w:ascii="Times New Roman" w:hAnsi="Times New Roman" w:cs="Times New Roman"/>
          <w:sz w:val="28"/>
          <w:szCs w:val="28"/>
        </w:rPr>
        <w:t>splendor</w:t>
      </w:r>
      <w:proofErr w:type="spellEnd"/>
      <w:r w:rsidRPr="003F45EC">
        <w:rPr>
          <w:rFonts w:ascii="Times New Roman" w:hAnsi="Times New Roman" w:cs="Times New Roman"/>
          <w:sz w:val="28"/>
          <w:szCs w:val="28"/>
          <w:lang w:val="en-US"/>
        </w:rPr>
        <w:t xml:space="preserve"> in the forecast period”, says an analyst from Future Market Insights.</w:t>
      </w:r>
    </w:p>
    <w:p w:rsidR="003F45EC" w:rsidRPr="003F45EC" w:rsidRDefault="003F45EC" w:rsidP="003F45EC">
      <w:pPr>
        <w:rPr>
          <w:rFonts w:ascii="Times New Roman" w:hAnsi="Times New Roman" w:cs="Times New Roman"/>
          <w:b/>
          <w:sz w:val="28"/>
          <w:szCs w:val="28"/>
        </w:rPr>
      </w:pPr>
      <w:r w:rsidRPr="003F45EC">
        <w:rPr>
          <w:rFonts w:ascii="Times New Roman" w:hAnsi="Times New Roman" w:cs="Times New Roman"/>
          <w:b/>
          <w:sz w:val="28"/>
          <w:szCs w:val="28"/>
        </w:rPr>
        <w:t>What does the Report enclose?</w:t>
      </w:r>
    </w:p>
    <w:p w:rsidR="003F45EC" w:rsidRPr="003F45EC" w:rsidRDefault="003F45EC" w:rsidP="003F45EC">
      <w:pPr>
        <w:numPr>
          <w:ilvl w:val="0"/>
          <w:numId w:val="1"/>
        </w:numPr>
        <w:rPr>
          <w:rFonts w:ascii="Times New Roman" w:hAnsi="Times New Roman" w:cs="Times New Roman"/>
          <w:sz w:val="28"/>
          <w:szCs w:val="28"/>
        </w:rPr>
      </w:pPr>
      <w:r w:rsidRPr="003F45EC">
        <w:rPr>
          <w:rFonts w:ascii="Times New Roman" w:hAnsi="Times New Roman" w:cs="Times New Roman"/>
          <w:sz w:val="28"/>
          <w:szCs w:val="28"/>
        </w:rPr>
        <w:t>The research study is based on companies (Tier-1 companies, tier-2 companies, and tier-3 companies), by product type (clothing and garments, footwear, accessories, handbags, and likewise), and by end-user (kids and adults).</w:t>
      </w:r>
    </w:p>
    <w:p w:rsidR="003F45EC" w:rsidRDefault="003F45EC" w:rsidP="003F45EC">
      <w:pPr>
        <w:numPr>
          <w:ilvl w:val="0"/>
          <w:numId w:val="1"/>
        </w:numPr>
        <w:rPr>
          <w:rFonts w:ascii="Times New Roman" w:hAnsi="Times New Roman" w:cs="Times New Roman"/>
          <w:sz w:val="28"/>
          <w:szCs w:val="28"/>
        </w:rPr>
      </w:pPr>
      <w:r w:rsidRPr="003F45EC">
        <w:rPr>
          <w:rFonts w:ascii="Times New Roman" w:hAnsi="Times New Roman" w:cs="Times New Roman"/>
          <w:sz w:val="28"/>
          <w:szCs w:val="28"/>
        </w:rPr>
        <w:t>With increase in B2C e-commerce sales, the global apparel re-commerce market is bound to grow on a stupendous note going forward.</w:t>
      </w:r>
    </w:p>
    <w:p w:rsidR="003F45EC" w:rsidRPr="001B1678" w:rsidRDefault="003F45EC" w:rsidP="003F45EC">
      <w:pPr>
        <w:rPr>
          <w:b/>
          <w:bCs/>
          <w:sz w:val="28"/>
          <w:szCs w:val="28"/>
        </w:rPr>
      </w:pPr>
      <w:r w:rsidRPr="009A0666">
        <w:rPr>
          <w:b/>
          <w:bCs/>
          <w:sz w:val="28"/>
          <w:szCs w:val="28"/>
        </w:rPr>
        <w:t>For any Queries Linked with the Report, Ask an Analyst</w:t>
      </w:r>
      <w:r>
        <w:rPr>
          <w:b/>
          <w:bCs/>
          <w:sz w:val="28"/>
          <w:szCs w:val="28"/>
        </w:rPr>
        <w:t>@</w:t>
      </w:r>
      <w:r>
        <w:rPr>
          <w:b/>
          <w:bCs/>
          <w:sz w:val="28"/>
          <w:szCs w:val="28"/>
        </w:rPr>
        <w:br/>
      </w:r>
      <w:hyperlink r:id="rId8" w:history="1">
        <w:r w:rsidRPr="00376345">
          <w:rPr>
            <w:rStyle w:val="Hyperlink"/>
            <w:sz w:val="28"/>
            <w:szCs w:val="28"/>
          </w:rPr>
          <w:t>https://www.futuremarketinsights.com/ask-the-analyst/rep-gb-7922</w:t>
        </w:r>
      </w:hyperlink>
      <w:r>
        <w:rPr>
          <w:sz w:val="28"/>
          <w:szCs w:val="28"/>
        </w:rPr>
        <w:t xml:space="preserve">                                                                         </w:t>
      </w:r>
    </w:p>
    <w:p w:rsidR="003F45EC" w:rsidRPr="003F45EC" w:rsidRDefault="003F45EC" w:rsidP="003F45EC">
      <w:pPr>
        <w:rPr>
          <w:rFonts w:ascii="Times New Roman" w:hAnsi="Times New Roman" w:cs="Times New Roman"/>
          <w:b/>
          <w:sz w:val="28"/>
          <w:szCs w:val="28"/>
        </w:rPr>
      </w:pPr>
      <w:r w:rsidRPr="003F45EC">
        <w:rPr>
          <w:rFonts w:ascii="Times New Roman" w:hAnsi="Times New Roman" w:cs="Times New Roman"/>
          <w:b/>
          <w:sz w:val="28"/>
          <w:szCs w:val="28"/>
        </w:rPr>
        <w:t>Key Segments Profiled in the Apparel Re-Commerce Market</w:t>
      </w:r>
    </w:p>
    <w:p w:rsidR="003F45EC" w:rsidRPr="003F45EC"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By Companies:</w:t>
      </w:r>
    </w:p>
    <w:p w:rsidR="003F45EC" w:rsidRPr="003F45EC" w:rsidRDefault="003F45EC" w:rsidP="003F45EC">
      <w:pPr>
        <w:numPr>
          <w:ilvl w:val="0"/>
          <w:numId w:val="4"/>
        </w:numPr>
        <w:rPr>
          <w:rFonts w:ascii="Times New Roman" w:hAnsi="Times New Roman" w:cs="Times New Roman"/>
          <w:sz w:val="28"/>
          <w:szCs w:val="28"/>
        </w:rPr>
      </w:pPr>
      <w:r w:rsidRPr="003F45EC">
        <w:rPr>
          <w:rFonts w:ascii="Times New Roman" w:hAnsi="Times New Roman" w:cs="Times New Roman"/>
          <w:sz w:val="28"/>
          <w:szCs w:val="28"/>
        </w:rPr>
        <w:t>Tier-1 Companies</w:t>
      </w:r>
    </w:p>
    <w:p w:rsidR="003F45EC" w:rsidRPr="003F45EC" w:rsidRDefault="003F45EC" w:rsidP="003F45EC">
      <w:pPr>
        <w:numPr>
          <w:ilvl w:val="0"/>
          <w:numId w:val="4"/>
        </w:numPr>
        <w:rPr>
          <w:rFonts w:ascii="Times New Roman" w:hAnsi="Times New Roman" w:cs="Times New Roman"/>
          <w:sz w:val="28"/>
          <w:szCs w:val="28"/>
        </w:rPr>
      </w:pPr>
      <w:r w:rsidRPr="003F45EC">
        <w:rPr>
          <w:rFonts w:ascii="Times New Roman" w:hAnsi="Times New Roman" w:cs="Times New Roman"/>
          <w:sz w:val="28"/>
          <w:szCs w:val="28"/>
        </w:rPr>
        <w:t>Tier-2 Companies</w:t>
      </w:r>
    </w:p>
    <w:p w:rsidR="003F45EC" w:rsidRPr="003F45EC" w:rsidRDefault="003F45EC" w:rsidP="003F45EC">
      <w:pPr>
        <w:numPr>
          <w:ilvl w:val="0"/>
          <w:numId w:val="4"/>
        </w:numPr>
        <w:rPr>
          <w:rFonts w:ascii="Times New Roman" w:hAnsi="Times New Roman" w:cs="Times New Roman"/>
          <w:sz w:val="28"/>
          <w:szCs w:val="28"/>
        </w:rPr>
      </w:pPr>
      <w:r w:rsidRPr="003F45EC">
        <w:rPr>
          <w:rFonts w:ascii="Times New Roman" w:hAnsi="Times New Roman" w:cs="Times New Roman"/>
          <w:sz w:val="28"/>
          <w:szCs w:val="28"/>
        </w:rPr>
        <w:t>Tier-3 Companies</w:t>
      </w:r>
    </w:p>
    <w:p w:rsidR="003F45EC" w:rsidRPr="003F45EC"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By Product Type:</w:t>
      </w:r>
    </w:p>
    <w:p w:rsidR="003F45EC" w:rsidRPr="003F45EC" w:rsidRDefault="003F45EC" w:rsidP="003F45EC">
      <w:pPr>
        <w:numPr>
          <w:ilvl w:val="0"/>
          <w:numId w:val="5"/>
        </w:numPr>
        <w:rPr>
          <w:rFonts w:ascii="Times New Roman" w:hAnsi="Times New Roman" w:cs="Times New Roman"/>
          <w:sz w:val="28"/>
          <w:szCs w:val="28"/>
        </w:rPr>
      </w:pPr>
      <w:r w:rsidRPr="003F45EC">
        <w:rPr>
          <w:rFonts w:ascii="Times New Roman" w:hAnsi="Times New Roman" w:cs="Times New Roman"/>
          <w:sz w:val="28"/>
          <w:szCs w:val="28"/>
        </w:rPr>
        <w:t>Clothing and garments</w:t>
      </w:r>
    </w:p>
    <w:p w:rsidR="003F45EC" w:rsidRPr="003F45EC" w:rsidRDefault="003F45EC" w:rsidP="003F45EC">
      <w:pPr>
        <w:numPr>
          <w:ilvl w:val="0"/>
          <w:numId w:val="5"/>
        </w:numPr>
        <w:rPr>
          <w:rFonts w:ascii="Times New Roman" w:hAnsi="Times New Roman" w:cs="Times New Roman"/>
          <w:sz w:val="28"/>
          <w:szCs w:val="28"/>
        </w:rPr>
      </w:pPr>
      <w:r w:rsidRPr="003F45EC">
        <w:rPr>
          <w:rFonts w:ascii="Times New Roman" w:hAnsi="Times New Roman" w:cs="Times New Roman"/>
          <w:sz w:val="28"/>
          <w:szCs w:val="28"/>
        </w:rPr>
        <w:t>Footwear</w:t>
      </w:r>
    </w:p>
    <w:p w:rsidR="003F45EC" w:rsidRPr="003F45EC" w:rsidRDefault="003F45EC" w:rsidP="003F45EC">
      <w:pPr>
        <w:numPr>
          <w:ilvl w:val="0"/>
          <w:numId w:val="5"/>
        </w:numPr>
        <w:rPr>
          <w:rFonts w:ascii="Times New Roman" w:hAnsi="Times New Roman" w:cs="Times New Roman"/>
          <w:sz w:val="28"/>
          <w:szCs w:val="28"/>
        </w:rPr>
      </w:pPr>
      <w:r w:rsidRPr="003F45EC">
        <w:rPr>
          <w:rFonts w:ascii="Times New Roman" w:hAnsi="Times New Roman" w:cs="Times New Roman"/>
          <w:sz w:val="28"/>
          <w:szCs w:val="28"/>
        </w:rPr>
        <w:t>Accessories</w:t>
      </w:r>
    </w:p>
    <w:p w:rsidR="003F45EC" w:rsidRPr="003F45EC" w:rsidRDefault="003F45EC" w:rsidP="003F45EC">
      <w:pPr>
        <w:numPr>
          <w:ilvl w:val="0"/>
          <w:numId w:val="5"/>
        </w:numPr>
        <w:rPr>
          <w:rFonts w:ascii="Times New Roman" w:hAnsi="Times New Roman" w:cs="Times New Roman"/>
          <w:sz w:val="28"/>
          <w:szCs w:val="28"/>
        </w:rPr>
      </w:pPr>
      <w:r w:rsidRPr="003F45EC">
        <w:rPr>
          <w:rFonts w:ascii="Times New Roman" w:hAnsi="Times New Roman" w:cs="Times New Roman"/>
          <w:sz w:val="28"/>
          <w:szCs w:val="28"/>
        </w:rPr>
        <w:t>Handbags</w:t>
      </w:r>
    </w:p>
    <w:p w:rsidR="003F45EC" w:rsidRPr="003F45EC" w:rsidRDefault="003F45EC" w:rsidP="003F45EC">
      <w:pPr>
        <w:numPr>
          <w:ilvl w:val="0"/>
          <w:numId w:val="5"/>
        </w:numPr>
        <w:rPr>
          <w:rFonts w:ascii="Times New Roman" w:hAnsi="Times New Roman" w:cs="Times New Roman"/>
          <w:sz w:val="28"/>
          <w:szCs w:val="28"/>
        </w:rPr>
      </w:pPr>
      <w:r w:rsidRPr="003F45EC">
        <w:rPr>
          <w:rFonts w:ascii="Times New Roman" w:hAnsi="Times New Roman" w:cs="Times New Roman"/>
          <w:sz w:val="28"/>
          <w:szCs w:val="28"/>
        </w:rPr>
        <w:t>Others</w:t>
      </w:r>
    </w:p>
    <w:p w:rsidR="003F45EC" w:rsidRPr="003F45EC"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By End User:</w:t>
      </w:r>
    </w:p>
    <w:p w:rsidR="003F45EC" w:rsidRPr="003F45EC" w:rsidRDefault="003F45EC" w:rsidP="003F45EC">
      <w:pPr>
        <w:numPr>
          <w:ilvl w:val="0"/>
          <w:numId w:val="6"/>
        </w:numPr>
        <w:rPr>
          <w:rFonts w:ascii="Times New Roman" w:hAnsi="Times New Roman" w:cs="Times New Roman"/>
          <w:sz w:val="28"/>
          <w:szCs w:val="28"/>
        </w:rPr>
      </w:pPr>
      <w:r w:rsidRPr="003F45EC">
        <w:rPr>
          <w:rFonts w:ascii="Times New Roman" w:hAnsi="Times New Roman" w:cs="Times New Roman"/>
          <w:sz w:val="28"/>
          <w:szCs w:val="28"/>
        </w:rPr>
        <w:t>Adult</w:t>
      </w:r>
    </w:p>
    <w:p w:rsidR="003F45EC" w:rsidRPr="003F45EC" w:rsidRDefault="003F45EC" w:rsidP="003F45EC">
      <w:pPr>
        <w:numPr>
          <w:ilvl w:val="0"/>
          <w:numId w:val="6"/>
        </w:numPr>
        <w:rPr>
          <w:rFonts w:ascii="Times New Roman" w:hAnsi="Times New Roman" w:cs="Times New Roman"/>
          <w:sz w:val="28"/>
          <w:szCs w:val="28"/>
        </w:rPr>
      </w:pPr>
      <w:r w:rsidRPr="003F45EC">
        <w:rPr>
          <w:rFonts w:ascii="Times New Roman" w:hAnsi="Times New Roman" w:cs="Times New Roman"/>
          <w:sz w:val="28"/>
          <w:szCs w:val="28"/>
        </w:rPr>
        <w:t>Kids</w:t>
      </w:r>
    </w:p>
    <w:p w:rsidR="003F45EC" w:rsidRPr="003F45EC" w:rsidRDefault="003F45EC" w:rsidP="003F45EC">
      <w:pPr>
        <w:rPr>
          <w:rFonts w:ascii="Times New Roman" w:hAnsi="Times New Roman" w:cs="Times New Roman"/>
          <w:sz w:val="28"/>
          <w:szCs w:val="28"/>
        </w:rPr>
      </w:pPr>
      <w:r w:rsidRPr="003F45EC">
        <w:rPr>
          <w:rFonts w:ascii="Times New Roman" w:hAnsi="Times New Roman" w:cs="Times New Roman"/>
          <w:sz w:val="28"/>
          <w:szCs w:val="28"/>
        </w:rPr>
        <w:t>By Region:</w:t>
      </w:r>
    </w:p>
    <w:p w:rsidR="003F45EC" w:rsidRPr="003F45EC" w:rsidRDefault="003F45EC" w:rsidP="003F45EC">
      <w:pPr>
        <w:numPr>
          <w:ilvl w:val="0"/>
          <w:numId w:val="7"/>
        </w:numPr>
        <w:rPr>
          <w:rFonts w:ascii="Times New Roman" w:hAnsi="Times New Roman" w:cs="Times New Roman"/>
          <w:sz w:val="28"/>
          <w:szCs w:val="28"/>
        </w:rPr>
      </w:pPr>
      <w:r w:rsidRPr="003F45EC">
        <w:rPr>
          <w:rFonts w:ascii="Times New Roman" w:hAnsi="Times New Roman" w:cs="Times New Roman"/>
          <w:sz w:val="28"/>
          <w:szCs w:val="28"/>
        </w:rPr>
        <w:t>North America</w:t>
      </w:r>
    </w:p>
    <w:p w:rsidR="003F45EC" w:rsidRPr="003F45EC" w:rsidRDefault="003F45EC" w:rsidP="003F45EC">
      <w:pPr>
        <w:numPr>
          <w:ilvl w:val="0"/>
          <w:numId w:val="7"/>
        </w:numPr>
        <w:rPr>
          <w:rFonts w:ascii="Times New Roman" w:hAnsi="Times New Roman" w:cs="Times New Roman"/>
          <w:sz w:val="28"/>
          <w:szCs w:val="28"/>
        </w:rPr>
      </w:pPr>
      <w:r w:rsidRPr="003F45EC">
        <w:rPr>
          <w:rFonts w:ascii="Times New Roman" w:hAnsi="Times New Roman" w:cs="Times New Roman"/>
          <w:sz w:val="28"/>
          <w:szCs w:val="28"/>
        </w:rPr>
        <w:lastRenderedPageBreak/>
        <w:t>Latin America</w:t>
      </w:r>
    </w:p>
    <w:p w:rsidR="003F45EC" w:rsidRPr="003F45EC" w:rsidRDefault="003F45EC" w:rsidP="003F45EC">
      <w:pPr>
        <w:numPr>
          <w:ilvl w:val="0"/>
          <w:numId w:val="7"/>
        </w:numPr>
        <w:rPr>
          <w:rFonts w:ascii="Times New Roman" w:hAnsi="Times New Roman" w:cs="Times New Roman"/>
          <w:sz w:val="28"/>
          <w:szCs w:val="28"/>
        </w:rPr>
      </w:pPr>
      <w:r w:rsidRPr="003F45EC">
        <w:rPr>
          <w:rFonts w:ascii="Times New Roman" w:hAnsi="Times New Roman" w:cs="Times New Roman"/>
          <w:sz w:val="28"/>
          <w:szCs w:val="28"/>
        </w:rPr>
        <w:t>Europe</w:t>
      </w:r>
    </w:p>
    <w:p w:rsidR="003F45EC" w:rsidRPr="003F45EC" w:rsidRDefault="003F45EC" w:rsidP="003F45EC">
      <w:pPr>
        <w:numPr>
          <w:ilvl w:val="0"/>
          <w:numId w:val="7"/>
        </w:numPr>
        <w:rPr>
          <w:rFonts w:ascii="Times New Roman" w:hAnsi="Times New Roman" w:cs="Times New Roman"/>
          <w:sz w:val="28"/>
          <w:szCs w:val="28"/>
        </w:rPr>
      </w:pPr>
      <w:r w:rsidRPr="003F45EC">
        <w:rPr>
          <w:rFonts w:ascii="Times New Roman" w:hAnsi="Times New Roman" w:cs="Times New Roman"/>
          <w:sz w:val="28"/>
          <w:szCs w:val="28"/>
        </w:rPr>
        <w:t>East Asia</w:t>
      </w:r>
    </w:p>
    <w:p w:rsidR="003F45EC" w:rsidRPr="003F45EC" w:rsidRDefault="003F45EC" w:rsidP="003F45EC">
      <w:pPr>
        <w:numPr>
          <w:ilvl w:val="0"/>
          <w:numId w:val="7"/>
        </w:numPr>
        <w:rPr>
          <w:rFonts w:ascii="Times New Roman" w:hAnsi="Times New Roman" w:cs="Times New Roman"/>
          <w:sz w:val="28"/>
          <w:szCs w:val="28"/>
        </w:rPr>
      </w:pPr>
      <w:r w:rsidRPr="003F45EC">
        <w:rPr>
          <w:rFonts w:ascii="Times New Roman" w:hAnsi="Times New Roman" w:cs="Times New Roman"/>
          <w:sz w:val="28"/>
          <w:szCs w:val="28"/>
        </w:rPr>
        <w:t>South Asia</w:t>
      </w:r>
    </w:p>
    <w:p w:rsidR="003F45EC" w:rsidRPr="003F45EC" w:rsidRDefault="003F45EC" w:rsidP="003F45EC">
      <w:pPr>
        <w:numPr>
          <w:ilvl w:val="0"/>
          <w:numId w:val="7"/>
        </w:numPr>
        <w:rPr>
          <w:rFonts w:ascii="Times New Roman" w:hAnsi="Times New Roman" w:cs="Times New Roman"/>
          <w:sz w:val="28"/>
          <w:szCs w:val="28"/>
        </w:rPr>
      </w:pPr>
      <w:r w:rsidRPr="003F45EC">
        <w:rPr>
          <w:rFonts w:ascii="Times New Roman" w:hAnsi="Times New Roman" w:cs="Times New Roman"/>
          <w:sz w:val="28"/>
          <w:szCs w:val="28"/>
        </w:rPr>
        <w:t>Oceania</w:t>
      </w:r>
    </w:p>
    <w:p w:rsidR="003F45EC" w:rsidRDefault="003F45EC" w:rsidP="003F45EC">
      <w:pPr>
        <w:numPr>
          <w:ilvl w:val="0"/>
          <w:numId w:val="7"/>
        </w:numPr>
        <w:rPr>
          <w:rFonts w:ascii="Times New Roman" w:hAnsi="Times New Roman" w:cs="Times New Roman"/>
          <w:sz w:val="28"/>
          <w:szCs w:val="28"/>
        </w:rPr>
      </w:pPr>
      <w:r w:rsidRPr="003F45EC">
        <w:rPr>
          <w:rFonts w:ascii="Times New Roman" w:hAnsi="Times New Roman" w:cs="Times New Roman"/>
          <w:sz w:val="28"/>
          <w:szCs w:val="28"/>
        </w:rPr>
        <w:t>Middle East and Africa</w:t>
      </w:r>
    </w:p>
    <w:p w:rsidR="003F45EC" w:rsidRPr="00FD654B" w:rsidRDefault="00833EF8" w:rsidP="003F45EC">
      <w:pPr>
        <w:rPr>
          <w:bCs/>
          <w:sz w:val="28"/>
          <w:szCs w:val="28"/>
        </w:rPr>
      </w:pPr>
      <w:r w:rsidRPr="00BA11DD">
        <w:rPr>
          <w:rFonts w:ascii="Times New Roman" w:hAnsi="Times New Roman" w:cs="Times New Roman"/>
          <w:b/>
          <w:bCs/>
          <w:sz w:val="28"/>
          <w:szCs w:val="28"/>
        </w:rPr>
        <w:t>Click on the Below Link to Buy this Report@</w:t>
      </w:r>
      <w:r w:rsidRPr="00BA11DD">
        <w:rPr>
          <w:rFonts w:ascii="Times New Roman" w:hAnsi="Times New Roman" w:cs="Times New Roman"/>
          <w:sz w:val="28"/>
          <w:szCs w:val="28"/>
          <w:lang w:val="en-US"/>
        </w:rPr>
        <w:t xml:space="preserve"> </w:t>
      </w:r>
      <w:hyperlink r:id="rId9" w:history="1">
        <w:r w:rsidR="003F45EC" w:rsidRPr="00376345">
          <w:rPr>
            <w:rStyle w:val="Hyperlink"/>
            <w:bCs/>
            <w:sz w:val="28"/>
            <w:szCs w:val="28"/>
          </w:rPr>
          <w:t>https://www.futuremarketinsights.com/checkout/7922</w:t>
        </w:r>
      </w:hyperlink>
      <w:r w:rsidR="003F45EC">
        <w:rPr>
          <w:bCs/>
          <w:sz w:val="28"/>
          <w:szCs w:val="28"/>
        </w:rPr>
        <w:t xml:space="preserve"> </w:t>
      </w:r>
      <w:r w:rsidR="003F45EC" w:rsidRPr="00FD654B">
        <w:rPr>
          <w:bCs/>
          <w:sz w:val="28"/>
          <w:szCs w:val="28"/>
        </w:rPr>
        <w:t xml:space="preserve"> </w:t>
      </w:r>
    </w:p>
    <w:p w:rsidR="003F45EC" w:rsidRPr="00BA11DD" w:rsidRDefault="003F45EC" w:rsidP="003F45EC">
      <w:pPr>
        <w:jc w:val="both"/>
        <w:rPr>
          <w:rFonts w:ascii="Times New Roman" w:hAnsi="Times New Roman" w:cs="Times New Roman"/>
          <w:b/>
          <w:bCs/>
          <w:color w:val="333333"/>
          <w:sz w:val="28"/>
          <w:szCs w:val="28"/>
          <w:shd w:val="clear" w:color="auto" w:fill="FFFFFF"/>
        </w:rPr>
      </w:pPr>
      <w:bookmarkStart w:id="0" w:name="_GoBack"/>
      <w:bookmarkEnd w:id="0"/>
      <w:r w:rsidRPr="00BA11DD">
        <w:rPr>
          <w:rFonts w:ascii="Times New Roman" w:hAnsi="Times New Roman" w:cs="Times New Roman"/>
          <w:b/>
          <w:bCs/>
          <w:color w:val="333333"/>
          <w:sz w:val="28"/>
          <w:szCs w:val="28"/>
          <w:shd w:val="clear" w:color="auto" w:fill="FFFFFF"/>
        </w:rPr>
        <w:t>Explore Wide-Ranging Coverage of FMI's of Consumer Product Insights</w:t>
      </w:r>
    </w:p>
    <w:p w:rsidR="003F45EC" w:rsidRPr="003F45EC" w:rsidRDefault="003F45EC" w:rsidP="003F45EC">
      <w:pPr>
        <w:rPr>
          <w:rFonts w:ascii="Times New Roman" w:hAnsi="Times New Roman" w:cs="Times New Roman"/>
          <w:sz w:val="28"/>
          <w:szCs w:val="28"/>
        </w:rPr>
      </w:pPr>
      <w:hyperlink r:id="rId10" w:history="1">
        <w:r w:rsidRPr="003F45EC">
          <w:rPr>
            <w:rStyle w:val="Hyperlink"/>
            <w:rFonts w:ascii="Times New Roman" w:hAnsi="Times New Roman" w:cs="Times New Roman"/>
            <w:sz w:val="28"/>
            <w:szCs w:val="28"/>
          </w:rPr>
          <w:t>Baby Teeth Care Products Market Size</w:t>
        </w:r>
      </w:hyperlink>
      <w:r>
        <w:rPr>
          <w:rFonts w:ascii="Times New Roman" w:hAnsi="Times New Roman" w:cs="Times New Roman"/>
          <w:sz w:val="28"/>
          <w:szCs w:val="28"/>
        </w:rPr>
        <w:t xml:space="preserve">: </w:t>
      </w:r>
      <w:r w:rsidRPr="003F45EC">
        <w:rPr>
          <w:rFonts w:ascii="Times New Roman" w:hAnsi="Times New Roman" w:cs="Times New Roman"/>
          <w:sz w:val="28"/>
          <w:szCs w:val="28"/>
        </w:rPr>
        <w:t xml:space="preserve">The baby teeth care products market is likely to register a CAGR of 2.5% during the forecast period, and is anticipated to reach a market share of US$ 1.71 </w:t>
      </w:r>
      <w:proofErr w:type="spellStart"/>
      <w:r w:rsidRPr="003F45EC">
        <w:rPr>
          <w:rFonts w:ascii="Times New Roman" w:hAnsi="Times New Roman" w:cs="Times New Roman"/>
          <w:sz w:val="28"/>
          <w:szCs w:val="28"/>
        </w:rPr>
        <w:t>Bn</w:t>
      </w:r>
      <w:proofErr w:type="spellEnd"/>
      <w:r w:rsidRPr="003F45EC">
        <w:rPr>
          <w:rFonts w:ascii="Times New Roman" w:hAnsi="Times New Roman" w:cs="Times New Roman"/>
          <w:sz w:val="28"/>
          <w:szCs w:val="28"/>
        </w:rPr>
        <w:t xml:space="preserve"> in 2032</w:t>
      </w:r>
    </w:p>
    <w:p w:rsidR="003F45EC" w:rsidRPr="003F45EC" w:rsidRDefault="003F45EC" w:rsidP="003F45EC">
      <w:pPr>
        <w:rPr>
          <w:rFonts w:ascii="Times New Roman" w:hAnsi="Times New Roman" w:cs="Times New Roman"/>
          <w:sz w:val="28"/>
          <w:szCs w:val="28"/>
        </w:rPr>
      </w:pPr>
      <w:hyperlink r:id="rId11" w:history="1">
        <w:r w:rsidRPr="003F45EC">
          <w:rPr>
            <w:rStyle w:val="Hyperlink"/>
            <w:rFonts w:ascii="Times New Roman" w:hAnsi="Times New Roman" w:cs="Times New Roman"/>
            <w:sz w:val="28"/>
            <w:szCs w:val="28"/>
          </w:rPr>
          <w:t>Baby Crib Sheet Market Share</w:t>
        </w:r>
      </w:hyperlink>
      <w:r>
        <w:rPr>
          <w:rFonts w:ascii="Times New Roman" w:hAnsi="Times New Roman" w:cs="Times New Roman"/>
          <w:sz w:val="28"/>
          <w:szCs w:val="28"/>
        </w:rPr>
        <w:t xml:space="preserve">: </w:t>
      </w:r>
      <w:r w:rsidRPr="003F45EC">
        <w:rPr>
          <w:rFonts w:ascii="Times New Roman" w:hAnsi="Times New Roman" w:cs="Times New Roman"/>
          <w:sz w:val="28"/>
          <w:szCs w:val="28"/>
        </w:rPr>
        <w:t>The baby crib sheet market is expected to expand its roots at a moderate CAGR of 4% during the forecast period.</w:t>
      </w:r>
    </w:p>
    <w:p w:rsidR="007C27D1" w:rsidRDefault="003F45EC">
      <w:pPr>
        <w:rPr>
          <w:rFonts w:ascii="Times New Roman" w:hAnsi="Times New Roman" w:cs="Times New Roman"/>
          <w:sz w:val="28"/>
          <w:szCs w:val="28"/>
        </w:rPr>
      </w:pPr>
      <w:hyperlink r:id="rId12" w:history="1">
        <w:r w:rsidRPr="003F45EC">
          <w:rPr>
            <w:rStyle w:val="Hyperlink"/>
            <w:rFonts w:ascii="Times New Roman" w:hAnsi="Times New Roman" w:cs="Times New Roman"/>
            <w:sz w:val="28"/>
            <w:szCs w:val="28"/>
          </w:rPr>
          <w:t>Sleeping Bags Market Trend</w:t>
        </w:r>
      </w:hyperlink>
      <w:r>
        <w:rPr>
          <w:rFonts w:ascii="Times New Roman" w:hAnsi="Times New Roman" w:cs="Times New Roman"/>
          <w:sz w:val="28"/>
          <w:szCs w:val="28"/>
        </w:rPr>
        <w:t xml:space="preserve">: </w:t>
      </w:r>
      <w:r w:rsidRPr="003F45EC">
        <w:rPr>
          <w:rFonts w:ascii="Times New Roman" w:hAnsi="Times New Roman" w:cs="Times New Roman"/>
          <w:sz w:val="28"/>
          <w:szCs w:val="28"/>
        </w:rPr>
        <w:t>The global sleeping bags market was valued at US$ 1,545 Million in 2021, and is likely to reflect a Y-o-Y growth of 7.1% in 2022</w:t>
      </w:r>
    </w:p>
    <w:p w:rsidR="003F45EC" w:rsidRPr="003F45EC" w:rsidRDefault="003F45EC">
      <w:pPr>
        <w:rPr>
          <w:rFonts w:ascii="Times New Roman" w:hAnsi="Times New Roman" w:cs="Times New Roman"/>
          <w:sz w:val="28"/>
          <w:szCs w:val="28"/>
        </w:rPr>
      </w:pPr>
      <w:hyperlink r:id="rId13" w:history="1">
        <w:r w:rsidRPr="003F45EC">
          <w:rPr>
            <w:rStyle w:val="Hyperlink"/>
            <w:rFonts w:ascii="Times New Roman" w:hAnsi="Times New Roman" w:cs="Times New Roman"/>
            <w:sz w:val="28"/>
            <w:szCs w:val="28"/>
          </w:rPr>
          <w:t>Disodium Adenosine Triphosphate Market Analysis</w:t>
        </w:r>
      </w:hyperlink>
      <w:r w:rsidRPr="003F45EC">
        <w:rPr>
          <w:rFonts w:ascii="Times New Roman" w:hAnsi="Times New Roman" w:cs="Times New Roman"/>
          <w:sz w:val="28"/>
          <w:szCs w:val="28"/>
        </w:rPr>
        <w:t>: The </w:t>
      </w:r>
      <w:r w:rsidRPr="003F45EC">
        <w:rPr>
          <w:rFonts w:ascii="Times New Roman" w:hAnsi="Times New Roman" w:cs="Times New Roman"/>
          <w:bCs/>
          <w:sz w:val="28"/>
          <w:szCs w:val="28"/>
        </w:rPr>
        <w:t>disodium adenosine triphosphate market</w:t>
      </w:r>
      <w:r w:rsidRPr="003F45EC">
        <w:rPr>
          <w:rFonts w:ascii="Times New Roman" w:hAnsi="Times New Roman" w:cs="Times New Roman"/>
          <w:sz w:val="28"/>
          <w:szCs w:val="28"/>
        </w:rPr>
        <w:t> is anticipated to secure a CAGR of </w:t>
      </w:r>
      <w:r w:rsidRPr="003F45EC">
        <w:rPr>
          <w:rFonts w:ascii="Times New Roman" w:hAnsi="Times New Roman" w:cs="Times New Roman"/>
          <w:bCs/>
          <w:sz w:val="28"/>
          <w:szCs w:val="28"/>
        </w:rPr>
        <w:t>11%</w:t>
      </w:r>
      <w:r w:rsidRPr="003F45EC">
        <w:rPr>
          <w:rFonts w:ascii="Times New Roman" w:hAnsi="Times New Roman" w:cs="Times New Roman"/>
          <w:sz w:val="28"/>
          <w:szCs w:val="28"/>
        </w:rPr>
        <w:t> during the forecast period.</w:t>
      </w:r>
    </w:p>
    <w:p w:rsidR="003F45EC" w:rsidRPr="003F45EC" w:rsidRDefault="003F45EC" w:rsidP="003F45EC">
      <w:pPr>
        <w:rPr>
          <w:rFonts w:ascii="Times New Roman" w:hAnsi="Times New Roman" w:cs="Times New Roman"/>
          <w:bCs/>
          <w:sz w:val="28"/>
          <w:szCs w:val="28"/>
        </w:rPr>
      </w:pPr>
      <w:hyperlink r:id="rId14" w:history="1">
        <w:r w:rsidRPr="003F45EC">
          <w:rPr>
            <w:rStyle w:val="Hyperlink"/>
            <w:rFonts w:ascii="Times New Roman" w:hAnsi="Times New Roman" w:cs="Times New Roman"/>
            <w:bCs/>
            <w:sz w:val="28"/>
            <w:szCs w:val="28"/>
          </w:rPr>
          <w:t>Aquarium Hydrometers Market Forecast</w:t>
        </w:r>
      </w:hyperlink>
      <w:r w:rsidRPr="003F45EC">
        <w:rPr>
          <w:rFonts w:ascii="Times New Roman" w:hAnsi="Times New Roman" w:cs="Times New Roman"/>
          <w:bCs/>
          <w:sz w:val="28"/>
          <w:szCs w:val="28"/>
        </w:rPr>
        <w:t>:  The global aquarium hydrometers market is estimated to reach US$ 1.1 </w:t>
      </w:r>
      <w:proofErr w:type="spellStart"/>
      <w:r w:rsidRPr="003F45EC">
        <w:rPr>
          <w:rFonts w:ascii="Times New Roman" w:hAnsi="Times New Roman" w:cs="Times New Roman"/>
          <w:bCs/>
          <w:sz w:val="28"/>
          <w:szCs w:val="28"/>
        </w:rPr>
        <w:t>Mn</w:t>
      </w:r>
      <w:proofErr w:type="spellEnd"/>
      <w:r w:rsidRPr="003F45EC">
        <w:rPr>
          <w:rFonts w:ascii="Times New Roman" w:hAnsi="Times New Roman" w:cs="Times New Roman"/>
          <w:bCs/>
          <w:sz w:val="28"/>
          <w:szCs w:val="28"/>
        </w:rPr>
        <w:t> in 2022 and is projected to reach US$ 2.2 </w:t>
      </w:r>
      <w:proofErr w:type="spellStart"/>
      <w:r w:rsidRPr="003F45EC">
        <w:rPr>
          <w:rFonts w:ascii="Times New Roman" w:hAnsi="Times New Roman" w:cs="Times New Roman"/>
          <w:bCs/>
          <w:sz w:val="28"/>
          <w:szCs w:val="28"/>
        </w:rPr>
        <w:t>Mn</w:t>
      </w:r>
      <w:proofErr w:type="spellEnd"/>
      <w:r w:rsidRPr="003F45EC">
        <w:rPr>
          <w:rFonts w:ascii="Times New Roman" w:hAnsi="Times New Roman" w:cs="Times New Roman"/>
          <w:bCs/>
          <w:sz w:val="28"/>
          <w:szCs w:val="28"/>
        </w:rPr>
        <w:t> by 2032</w:t>
      </w:r>
    </w:p>
    <w:p w:rsidR="003F45EC" w:rsidRPr="00BA11DD" w:rsidRDefault="003F45EC" w:rsidP="003F45EC">
      <w:pPr>
        <w:jc w:val="both"/>
        <w:rPr>
          <w:rFonts w:ascii="Times New Roman" w:hAnsi="Times New Roman" w:cs="Times New Roman"/>
          <w:b/>
          <w:sz w:val="28"/>
          <w:szCs w:val="28"/>
        </w:rPr>
      </w:pPr>
      <w:r w:rsidRPr="00BA11DD">
        <w:rPr>
          <w:rFonts w:ascii="Times New Roman" w:hAnsi="Times New Roman" w:cs="Times New Roman"/>
          <w:b/>
          <w:sz w:val="28"/>
          <w:szCs w:val="28"/>
        </w:rPr>
        <w:t>About Future Market Insights, Inc.</w:t>
      </w:r>
    </w:p>
    <w:p w:rsidR="003F45EC" w:rsidRPr="00BA11DD" w:rsidRDefault="003F45EC" w:rsidP="003F45EC">
      <w:pPr>
        <w:jc w:val="both"/>
        <w:rPr>
          <w:rFonts w:ascii="Times New Roman" w:hAnsi="Times New Roman" w:cs="Times New Roman"/>
          <w:sz w:val="28"/>
          <w:szCs w:val="28"/>
        </w:rPr>
      </w:pPr>
      <w:r w:rsidRPr="00BA11DD">
        <w:rPr>
          <w:rFonts w:ascii="Times New Roman" w:hAnsi="Times New Roman" w:cs="Times New Roman"/>
          <w:sz w:val="28"/>
          <w:szCs w:val="28"/>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rsidR="003F45EC" w:rsidRPr="00BA11DD" w:rsidRDefault="003F45EC" w:rsidP="003F45EC">
      <w:pPr>
        <w:rPr>
          <w:rFonts w:ascii="Times New Roman" w:hAnsi="Times New Roman" w:cs="Times New Roman"/>
          <w:b/>
          <w:sz w:val="28"/>
          <w:szCs w:val="28"/>
        </w:rPr>
      </w:pPr>
      <w:r w:rsidRPr="00BA11DD">
        <w:rPr>
          <w:rFonts w:ascii="Times New Roman" w:hAnsi="Times New Roman" w:cs="Times New Roman"/>
          <w:b/>
          <w:sz w:val="28"/>
          <w:szCs w:val="28"/>
        </w:rPr>
        <w:t>Contact Us:</w:t>
      </w:r>
    </w:p>
    <w:p w:rsidR="003F45EC" w:rsidRPr="00BA11DD" w:rsidRDefault="003F45EC" w:rsidP="003F45EC">
      <w:pPr>
        <w:rPr>
          <w:rFonts w:ascii="Times New Roman" w:hAnsi="Times New Roman" w:cs="Times New Roman"/>
          <w:sz w:val="28"/>
          <w:szCs w:val="28"/>
        </w:rPr>
      </w:pPr>
      <w:r w:rsidRPr="00BA11DD">
        <w:rPr>
          <w:rFonts w:ascii="Times New Roman" w:hAnsi="Times New Roman" w:cs="Times New Roman"/>
          <w:sz w:val="28"/>
          <w:szCs w:val="28"/>
        </w:rPr>
        <w:lastRenderedPageBreak/>
        <w:t>Future Market Insights Inc.</w:t>
      </w:r>
      <w:r w:rsidRPr="00BA11DD">
        <w:rPr>
          <w:rFonts w:ascii="Times New Roman" w:hAnsi="Times New Roman" w:cs="Times New Roman"/>
          <w:sz w:val="28"/>
          <w:szCs w:val="28"/>
        </w:rPr>
        <w:br/>
        <w:t>Christiana Corporate, 200 Continental Drive,</w:t>
      </w:r>
      <w:r w:rsidRPr="00BA11DD">
        <w:rPr>
          <w:rFonts w:ascii="Times New Roman" w:hAnsi="Times New Roman" w:cs="Times New Roman"/>
          <w:sz w:val="28"/>
          <w:szCs w:val="28"/>
        </w:rPr>
        <w:br/>
        <w:t>Suite 401, Newark, Delaware – 19713, USA</w:t>
      </w:r>
      <w:r w:rsidRPr="00BA11DD">
        <w:rPr>
          <w:rFonts w:ascii="Times New Roman" w:hAnsi="Times New Roman" w:cs="Times New Roman"/>
          <w:sz w:val="28"/>
          <w:szCs w:val="28"/>
        </w:rPr>
        <w:br/>
        <w:t>T: +1-845-579-5705</w:t>
      </w:r>
      <w:r w:rsidRPr="00BA11DD">
        <w:rPr>
          <w:rFonts w:ascii="Times New Roman" w:hAnsi="Times New Roman" w:cs="Times New Roman"/>
          <w:sz w:val="28"/>
          <w:szCs w:val="28"/>
        </w:rPr>
        <w:br/>
        <w:t>For Sales Enquiries: </w:t>
      </w:r>
      <w:hyperlink r:id="rId15" w:tgtFrame="_blank" w:tooltip="mailto:sales@futuremarketinsights.com" w:history="1">
        <w:r w:rsidRPr="00BA11DD">
          <w:rPr>
            <w:rStyle w:val="Hyperlink"/>
            <w:rFonts w:ascii="Times New Roman" w:hAnsi="Times New Roman" w:cs="Times New Roman"/>
            <w:sz w:val="28"/>
            <w:szCs w:val="28"/>
          </w:rPr>
          <w:t>sales@futuremarketinsights.com</w:t>
        </w:r>
      </w:hyperlink>
      <w:r w:rsidRPr="00BA11DD">
        <w:rPr>
          <w:rFonts w:ascii="Times New Roman" w:hAnsi="Times New Roman" w:cs="Times New Roman"/>
          <w:sz w:val="28"/>
          <w:szCs w:val="28"/>
        </w:rPr>
        <w:br/>
        <w:t>Browse Latest Market reports: </w:t>
      </w:r>
      <w:hyperlink r:id="rId16" w:tgtFrame="_blank" w:tooltip="https://www.futuremarketinsights.com/reports" w:history="1">
        <w:r w:rsidRPr="00BA11DD">
          <w:rPr>
            <w:rStyle w:val="Hyperlink"/>
            <w:rFonts w:ascii="Times New Roman" w:hAnsi="Times New Roman" w:cs="Times New Roman"/>
            <w:sz w:val="28"/>
            <w:szCs w:val="28"/>
          </w:rPr>
          <w:t>https://www.futuremarketinsights.com/reports</w:t>
        </w:r>
      </w:hyperlink>
    </w:p>
    <w:p w:rsidR="003F45EC" w:rsidRPr="003F45EC" w:rsidRDefault="003F45EC">
      <w:pPr>
        <w:rPr>
          <w:rFonts w:ascii="Times New Roman" w:hAnsi="Times New Roman" w:cs="Times New Roman"/>
          <w:sz w:val="28"/>
          <w:szCs w:val="28"/>
        </w:rPr>
      </w:pPr>
    </w:p>
    <w:sectPr w:rsidR="003F45EC" w:rsidRPr="003F4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5C29"/>
    <w:multiLevelType w:val="multilevel"/>
    <w:tmpl w:val="9384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D086F"/>
    <w:multiLevelType w:val="hybridMultilevel"/>
    <w:tmpl w:val="620E2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535B4C"/>
    <w:multiLevelType w:val="multilevel"/>
    <w:tmpl w:val="7F1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916D7"/>
    <w:multiLevelType w:val="hybridMultilevel"/>
    <w:tmpl w:val="B352E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6E71848"/>
    <w:multiLevelType w:val="hybridMultilevel"/>
    <w:tmpl w:val="7F9E4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317E13"/>
    <w:multiLevelType w:val="multilevel"/>
    <w:tmpl w:val="0AB4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B1A8E"/>
    <w:multiLevelType w:val="multilevel"/>
    <w:tmpl w:val="BC7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EC"/>
    <w:rsid w:val="003F45EC"/>
    <w:rsid w:val="00774FAD"/>
    <w:rsid w:val="00833EF8"/>
    <w:rsid w:val="00A941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7188"/>
  <w15:chartTrackingRefBased/>
  <w15:docId w15:val="{A3113842-45A3-482E-93D9-8F40F1BA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470">
      <w:bodyDiv w:val="1"/>
      <w:marLeft w:val="0"/>
      <w:marRight w:val="0"/>
      <w:marTop w:val="0"/>
      <w:marBottom w:val="0"/>
      <w:divBdr>
        <w:top w:val="none" w:sz="0" w:space="0" w:color="auto"/>
        <w:left w:val="none" w:sz="0" w:space="0" w:color="auto"/>
        <w:bottom w:val="none" w:sz="0" w:space="0" w:color="auto"/>
        <w:right w:val="none" w:sz="0" w:space="0" w:color="auto"/>
      </w:divBdr>
    </w:div>
    <w:div w:id="435949391">
      <w:bodyDiv w:val="1"/>
      <w:marLeft w:val="0"/>
      <w:marRight w:val="0"/>
      <w:marTop w:val="0"/>
      <w:marBottom w:val="0"/>
      <w:divBdr>
        <w:top w:val="none" w:sz="0" w:space="0" w:color="auto"/>
        <w:left w:val="none" w:sz="0" w:space="0" w:color="auto"/>
        <w:bottom w:val="none" w:sz="0" w:space="0" w:color="auto"/>
        <w:right w:val="none" w:sz="0" w:space="0" w:color="auto"/>
      </w:divBdr>
    </w:div>
    <w:div w:id="620772628">
      <w:bodyDiv w:val="1"/>
      <w:marLeft w:val="0"/>
      <w:marRight w:val="0"/>
      <w:marTop w:val="0"/>
      <w:marBottom w:val="0"/>
      <w:divBdr>
        <w:top w:val="none" w:sz="0" w:space="0" w:color="auto"/>
        <w:left w:val="none" w:sz="0" w:space="0" w:color="auto"/>
        <w:bottom w:val="none" w:sz="0" w:space="0" w:color="auto"/>
        <w:right w:val="none" w:sz="0" w:space="0" w:color="auto"/>
      </w:divBdr>
    </w:div>
    <w:div w:id="628361000">
      <w:bodyDiv w:val="1"/>
      <w:marLeft w:val="0"/>
      <w:marRight w:val="0"/>
      <w:marTop w:val="0"/>
      <w:marBottom w:val="0"/>
      <w:divBdr>
        <w:top w:val="none" w:sz="0" w:space="0" w:color="auto"/>
        <w:left w:val="none" w:sz="0" w:space="0" w:color="auto"/>
        <w:bottom w:val="none" w:sz="0" w:space="0" w:color="auto"/>
        <w:right w:val="none" w:sz="0" w:space="0" w:color="auto"/>
      </w:divBdr>
    </w:div>
    <w:div w:id="1221282555">
      <w:bodyDiv w:val="1"/>
      <w:marLeft w:val="0"/>
      <w:marRight w:val="0"/>
      <w:marTop w:val="0"/>
      <w:marBottom w:val="0"/>
      <w:divBdr>
        <w:top w:val="none" w:sz="0" w:space="0" w:color="auto"/>
        <w:left w:val="none" w:sz="0" w:space="0" w:color="auto"/>
        <w:bottom w:val="none" w:sz="0" w:space="0" w:color="auto"/>
        <w:right w:val="none" w:sz="0" w:space="0" w:color="auto"/>
      </w:divBdr>
    </w:div>
    <w:div w:id="1442914404">
      <w:bodyDiv w:val="1"/>
      <w:marLeft w:val="0"/>
      <w:marRight w:val="0"/>
      <w:marTop w:val="0"/>
      <w:marBottom w:val="0"/>
      <w:divBdr>
        <w:top w:val="none" w:sz="0" w:space="0" w:color="auto"/>
        <w:left w:val="none" w:sz="0" w:space="0" w:color="auto"/>
        <w:bottom w:val="none" w:sz="0" w:space="0" w:color="auto"/>
        <w:right w:val="none" w:sz="0" w:space="0" w:color="auto"/>
      </w:divBdr>
    </w:div>
    <w:div w:id="1478760283">
      <w:bodyDiv w:val="1"/>
      <w:marLeft w:val="0"/>
      <w:marRight w:val="0"/>
      <w:marTop w:val="0"/>
      <w:marBottom w:val="0"/>
      <w:divBdr>
        <w:top w:val="none" w:sz="0" w:space="0" w:color="auto"/>
        <w:left w:val="none" w:sz="0" w:space="0" w:color="auto"/>
        <w:bottom w:val="none" w:sz="0" w:space="0" w:color="auto"/>
        <w:right w:val="none" w:sz="0" w:space="0" w:color="auto"/>
      </w:divBdr>
    </w:div>
    <w:div w:id="1518035651">
      <w:bodyDiv w:val="1"/>
      <w:marLeft w:val="0"/>
      <w:marRight w:val="0"/>
      <w:marTop w:val="0"/>
      <w:marBottom w:val="0"/>
      <w:divBdr>
        <w:top w:val="none" w:sz="0" w:space="0" w:color="auto"/>
        <w:left w:val="none" w:sz="0" w:space="0" w:color="auto"/>
        <w:bottom w:val="none" w:sz="0" w:space="0" w:color="auto"/>
        <w:right w:val="none" w:sz="0" w:space="0" w:color="auto"/>
      </w:divBdr>
    </w:div>
    <w:div w:id="1766614939">
      <w:bodyDiv w:val="1"/>
      <w:marLeft w:val="0"/>
      <w:marRight w:val="0"/>
      <w:marTop w:val="0"/>
      <w:marBottom w:val="0"/>
      <w:divBdr>
        <w:top w:val="none" w:sz="0" w:space="0" w:color="auto"/>
        <w:left w:val="none" w:sz="0" w:space="0" w:color="auto"/>
        <w:bottom w:val="none" w:sz="0" w:space="0" w:color="auto"/>
        <w:right w:val="none" w:sz="0" w:space="0" w:color="auto"/>
      </w:divBdr>
    </w:div>
    <w:div w:id="1913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ask-the-analyst/rep-gb-7922" TargetMode="External"/><Relationship Id="rId13" Type="http://schemas.openxmlformats.org/officeDocument/2006/relationships/hyperlink" Target="https://www.futuremarketinsights.com/reports/disodium-adenosine-triphosphate-mark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turemarketinsights.com/reports/brochure/rep-gb-7922" TargetMode="External"/><Relationship Id="rId12" Type="http://schemas.openxmlformats.org/officeDocument/2006/relationships/hyperlink" Target="https://www.futuremarketinsights.com/reports/sleeping-bags-mark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turemarketinsights.com/reports" TargetMode="External"/><Relationship Id="rId1" Type="http://schemas.openxmlformats.org/officeDocument/2006/relationships/numbering" Target="numbering.xml"/><Relationship Id="rId6" Type="http://schemas.openxmlformats.org/officeDocument/2006/relationships/hyperlink" Target="https://www.futuremarketinsights.com/reports/sample/rep-gb-7922" TargetMode="External"/><Relationship Id="rId11" Type="http://schemas.openxmlformats.org/officeDocument/2006/relationships/hyperlink" Target="https://www.futuremarketinsights.com/reports/baby-crib-sheet-market" TargetMode="External"/><Relationship Id="rId5" Type="http://schemas.openxmlformats.org/officeDocument/2006/relationships/hyperlink" Target="https://www.futuremarketinsights.com/reports/apparel-re-commerce-market" TargetMode="External"/><Relationship Id="rId15" Type="http://schemas.openxmlformats.org/officeDocument/2006/relationships/hyperlink" Target="mailto:sales@futuremarketinsights.com" TargetMode="External"/><Relationship Id="rId10" Type="http://schemas.openxmlformats.org/officeDocument/2006/relationships/hyperlink" Target="https://www.futuremarketinsights.com/reports/baby-teeth-care-products-market" TargetMode="External"/><Relationship Id="rId4" Type="http://schemas.openxmlformats.org/officeDocument/2006/relationships/webSettings" Target="webSettings.xml"/><Relationship Id="rId9" Type="http://schemas.openxmlformats.org/officeDocument/2006/relationships/hyperlink" Target="https://www.futuremarketinsights.com/checkout/7922" TargetMode="External"/><Relationship Id="rId14" Type="http://schemas.openxmlformats.org/officeDocument/2006/relationships/hyperlink" Target="https://www.futuremarketinsights.com/reports/aquarium-hydrometer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Shah</dc:creator>
  <cp:keywords/>
  <dc:description/>
  <cp:lastModifiedBy>Komal Shah</cp:lastModifiedBy>
  <cp:revision>1</cp:revision>
  <dcterms:created xsi:type="dcterms:W3CDTF">2022-12-09T06:23:00Z</dcterms:created>
  <dcterms:modified xsi:type="dcterms:W3CDTF">2022-12-09T06:38:00Z</dcterms:modified>
</cp:coreProperties>
</file>