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553A" w14:textId="77777777" w:rsidR="00F113F6" w:rsidRPr="00F113F6" w:rsidRDefault="00F113F6" w:rsidP="00F113F6">
      <w:r w:rsidRPr="00F113F6">
        <w:rPr>
          <w:b/>
          <w:bCs/>
        </w:rPr>
        <w:t>Matt Comyn betrays Buderim. Who will stand up to CBA?</w:t>
      </w:r>
    </w:p>
    <w:p w14:paraId="15E1611F" w14:textId="348588E6" w:rsidR="00F113F6" w:rsidRPr="00F113F6" w:rsidRDefault="00F113F6" w:rsidP="00F113F6">
      <w:r w:rsidRPr="00F113F6">
        <w:t xml:space="preserve">Commonwealth Bank CEO Matt Comyn has broken his promise to stop all regional bank closures until December 2026, with CBA announcing it </w:t>
      </w:r>
      <w:r w:rsidR="004461BC">
        <w:t>will close</w:t>
      </w:r>
      <w:r w:rsidRPr="00F113F6">
        <w:t xml:space="preserve"> </w:t>
      </w:r>
      <w:r w:rsidR="004461BC">
        <w:t xml:space="preserve">its </w:t>
      </w:r>
      <w:r w:rsidRPr="00F113F6">
        <w:t>Buderim branch in Queensland's Sunshine Coast at the end of this month, 31 May.</w:t>
      </w:r>
    </w:p>
    <w:p w14:paraId="0257ADF2" w14:textId="2C8058BF" w:rsidR="00F113F6" w:rsidRPr="00F113F6" w:rsidRDefault="00F113F6" w:rsidP="00F113F6">
      <w:r w:rsidRPr="00F113F6">
        <w:t xml:space="preserve">CBA is telling customers they can use </w:t>
      </w:r>
      <w:proofErr w:type="spellStart"/>
      <w:r w:rsidRPr="00F113F6">
        <w:t>Bank@Post</w:t>
      </w:r>
      <w:proofErr w:type="spellEnd"/>
      <w:r w:rsidRPr="00F113F6">
        <w:t xml:space="preserve"> in Buderim, or travel to Nambour for the closest CBA branch</w:t>
      </w:r>
      <w:r>
        <w:t>—</w:t>
      </w:r>
      <w:r w:rsidRPr="00F113F6">
        <w:t>an inconvenience for its small business and elderly customers in Buderim.</w:t>
      </w:r>
    </w:p>
    <w:p w14:paraId="78B8BB8E" w14:textId="5FF42F66" w:rsidR="00F113F6" w:rsidRPr="00F113F6" w:rsidRDefault="00F113F6" w:rsidP="00F113F6">
      <w:r w:rsidRPr="00F113F6">
        <w:t xml:space="preserve">CBA will justify </w:t>
      </w:r>
      <w:r w:rsidR="004461BC">
        <w:t>the</w:t>
      </w:r>
      <w:r w:rsidRPr="00F113F6">
        <w:t xml:space="preserve"> closure on the basis of one cherry-picked definition of “regional”, based on the University of Adelaide’s Accessibility/Remoteness Index of Australia (ARIA+), used by the Australian Bureau of Statistics.</w:t>
      </w:r>
    </w:p>
    <w:p w14:paraId="620041F4" w14:textId="2EF68621" w:rsidR="00F113F6" w:rsidRPr="00F113F6" w:rsidRDefault="00F113F6" w:rsidP="00F113F6">
      <w:r w:rsidRPr="00F113F6">
        <w:t>The ARIA+ index reclassified the Sunshine Coast from Inner Regional to Major City between the 2016</w:t>
      </w:r>
      <w:r w:rsidR="004461BC">
        <w:t xml:space="preserve"> and </w:t>
      </w:r>
      <w:r w:rsidRPr="00F113F6">
        <w:t>2021 census</w:t>
      </w:r>
      <w:r w:rsidR="004461BC">
        <w:t>es</w:t>
      </w:r>
      <w:r w:rsidRPr="00F113F6">
        <w:t>, based on population growth in the Sunshine Coast.</w:t>
      </w:r>
    </w:p>
    <w:p w14:paraId="3EEF18DD" w14:textId="77777777" w:rsidR="00F113F6" w:rsidRPr="00F113F6" w:rsidRDefault="00F113F6" w:rsidP="00F113F6">
      <w:r w:rsidRPr="00F113F6">
        <w:t>However, the entire purpose of classifying regions differently to metropolitan areas is to reflect the difference in access to services, and the reality that service delivery in regional areas requires a higher per capita investment than in metropolitan centres.</w:t>
      </w:r>
    </w:p>
    <w:p w14:paraId="7599AD59" w14:textId="6116D745" w:rsidR="00F113F6" w:rsidRPr="00F113F6" w:rsidRDefault="00F113F6" w:rsidP="00F113F6">
      <w:r w:rsidRPr="00F113F6">
        <w:t>The ARIA</w:t>
      </w:r>
      <w:r w:rsidR="004461BC">
        <w:t>+</w:t>
      </w:r>
      <w:r w:rsidRPr="00F113F6">
        <w:t xml:space="preserve"> index </w:t>
      </w:r>
      <w:r w:rsidR="004461BC">
        <w:t>uses</w:t>
      </w:r>
      <w:r w:rsidRPr="00F113F6">
        <w:t xml:space="preserve"> a complicated formula that its administrators at the University of Adelaide admit assumes larger populations means more services, but doesn’t actually establish whether that is true.</w:t>
      </w:r>
    </w:p>
    <w:p w14:paraId="239C3215" w14:textId="77777777" w:rsidR="00F113F6" w:rsidRPr="00F113F6" w:rsidRDefault="00F113F6" w:rsidP="00F113F6">
      <w:r w:rsidRPr="00F113F6">
        <w:t>The ARIA+ website states: “Service Centres with larger populations are assumed to contain a greater level of service provision.”</w:t>
      </w:r>
    </w:p>
    <w:p w14:paraId="3A3A281F" w14:textId="77777777" w:rsidR="00F113F6" w:rsidRPr="00F113F6" w:rsidRDefault="00F113F6" w:rsidP="00F113F6">
      <w:r w:rsidRPr="00F113F6">
        <w:t>So the classification of Sunshine Coast, including Buderim, has been changed from Inner Regional to Major City based on population growth, assuming that means an increase in services.</w:t>
      </w:r>
    </w:p>
    <w:p w14:paraId="6421F497" w14:textId="77777777" w:rsidR="00F113F6" w:rsidRPr="00F113F6" w:rsidRDefault="00F113F6" w:rsidP="00F113F6">
      <w:r w:rsidRPr="00F113F6">
        <w:t>But anybody who lives in or knows the Sunshine Coast, and especially towns in the hinterland like Buderim, knows it is regional.</w:t>
      </w:r>
    </w:p>
    <w:p w14:paraId="05B14211" w14:textId="77777777" w:rsidR="00F113F6" w:rsidRPr="00F113F6" w:rsidRDefault="00F113F6" w:rsidP="00F113F6">
      <w:r w:rsidRPr="00F113F6">
        <w:t>And Buderim is officially ranked as regional by government departments, such as Home Affairs; as independent journalist Dale Webster, who has exhaustively documented the extent of regional bank branch closures across Australia, tweeted on 4 May: “Buderim in QLD qualifies for regional 491 work visas according to the Federal Government yet @CommBank continues to dishonour its promise not to close regional branches while the Senate inquiry is in progress.”</w:t>
      </w:r>
    </w:p>
    <w:p w14:paraId="7C40274A" w14:textId="3F49B319" w:rsidR="00F113F6" w:rsidRPr="00F113F6" w:rsidRDefault="00F113F6" w:rsidP="00F113F6">
      <w:r w:rsidRPr="00F113F6">
        <w:t>Dale Webster has accused CBA of deliberately splitting definition hairs to suit its agenda: “You ask anyone</w:t>
      </w:r>
      <w:r w:rsidR="001566D2">
        <w:t>—</w:t>
      </w:r>
      <w:r w:rsidRPr="00F113F6">
        <w:t>regional is anywhere outside the capital cities”, she said to the Australian Citizens Party (ACP). “They [CBA] said they would not close regional branches, not ‘branches outside major cities’. It's a breach of trust.”</w:t>
      </w:r>
    </w:p>
    <w:p w14:paraId="44304D06" w14:textId="77777777" w:rsidR="00F113F6" w:rsidRPr="00F113F6" w:rsidRDefault="00F113F6" w:rsidP="00F113F6">
      <w:r w:rsidRPr="00F113F6">
        <w:lastRenderedPageBreak/>
        <w:t>CBA won widespread praise on 7 July last year when the bank announced a three-year moratorium on any further regional branch closures until December 2026, in the middle of the Senate inquiry into bank closures in regional Australia.</w:t>
      </w:r>
    </w:p>
    <w:p w14:paraId="0C07C4DC" w14:textId="1E606B02" w:rsidR="00F113F6" w:rsidRPr="00F113F6" w:rsidRDefault="00F113F6" w:rsidP="00F113F6">
      <w:r w:rsidRPr="00F113F6">
        <w:t>The announcement confirmed the power of the inquiry, which by scrutinising the banks</w:t>
      </w:r>
      <w:r w:rsidR="001566D2">
        <w:t>’</w:t>
      </w:r>
      <w:r w:rsidRPr="00F113F6">
        <w:t xml:space="preserve"> decisions and the impact of branch closures on communities put the banks under pressure they aren’t accustomed to.</w:t>
      </w:r>
    </w:p>
    <w:p w14:paraId="2117F20F" w14:textId="77777777" w:rsidR="00F113F6" w:rsidRPr="00F113F6" w:rsidRDefault="00F113F6" w:rsidP="00F113F6">
      <w:r w:rsidRPr="00F113F6">
        <w:t>Last week Westpac was similarly motivated by the pressure of the inquiry to copy CBA and announce its own three-year moratorium on regional branch closures, to expire one month after CBA’s.</w:t>
      </w:r>
    </w:p>
    <w:p w14:paraId="2EADDD87" w14:textId="3EADEF74" w:rsidR="00F113F6" w:rsidRPr="00F113F6" w:rsidRDefault="00F113F6" w:rsidP="00F113F6">
      <w:r w:rsidRPr="00F113F6">
        <w:t>ACP Research Director Robert Barwick said today that CBA’s broken promise to Buderim, like its announced closure of all of its subsidiary Bank</w:t>
      </w:r>
      <w:r w:rsidR="001566D2">
        <w:t>w</w:t>
      </w:r>
      <w:r w:rsidRPr="00F113F6">
        <w:t>est’s branches, shows the inquiry has forced the banks to temporarily modify their behaviour, but it hasn’t changed their nature.</w:t>
      </w:r>
    </w:p>
    <w:p w14:paraId="5F1840BC" w14:textId="77777777" w:rsidR="00F113F6" w:rsidRPr="00F113F6" w:rsidRDefault="00F113F6" w:rsidP="00F113F6">
      <w:r w:rsidRPr="00F113F6">
        <w:t>“The banks aren’t genuine”, Barwick said. “They are actively looking for every loophole they can find or create to continue withdrawing services.</w:t>
      </w:r>
    </w:p>
    <w:p w14:paraId="40784B15" w14:textId="632182C9" w:rsidR="00F113F6" w:rsidRPr="00F113F6" w:rsidRDefault="00F113F6" w:rsidP="00F113F6">
      <w:r w:rsidRPr="00F113F6">
        <w:t>“Look at Buderim</w:t>
      </w:r>
      <w:r w:rsidR="001566D2">
        <w:t>—</w:t>
      </w:r>
      <w:r w:rsidRPr="00F113F6">
        <w:t xml:space="preserve">CBA is exploiting a classification change that assumes </w:t>
      </w:r>
      <w:r w:rsidRPr="00F113F6">
        <w:rPr>
          <w:i/>
          <w:iCs/>
        </w:rPr>
        <w:t xml:space="preserve">more </w:t>
      </w:r>
      <w:r w:rsidRPr="00F113F6">
        <w:t>services, to remove essential banking services!</w:t>
      </w:r>
    </w:p>
    <w:p w14:paraId="61E535D9" w14:textId="77777777" w:rsidR="00F113F6" w:rsidRPr="00F113F6" w:rsidRDefault="00F113F6" w:rsidP="00F113F6">
      <w:r w:rsidRPr="00F113F6">
        <w:t>“The politicians must get tough on these banks. Start with backing the ACP’s solution of a public postal bank that makes them compete.”</w:t>
      </w:r>
    </w:p>
    <w:p w14:paraId="6E1526D8" w14:textId="2AE37B55" w:rsidR="00F113F6" w:rsidRDefault="00F113F6">
      <w:r w:rsidRPr="00F113F6">
        <w:t>The inquiry’s report is due on 16 May</w:t>
      </w:r>
      <w:r>
        <w:t>.</w:t>
      </w:r>
    </w:p>
    <w:sectPr w:rsidR="00F11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6"/>
    <w:rsid w:val="001566D2"/>
    <w:rsid w:val="00222044"/>
    <w:rsid w:val="004461BC"/>
    <w:rsid w:val="00F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ABF6"/>
  <w15:chartTrackingRefBased/>
  <w15:docId w15:val="{AE29054A-1495-4D37-80B9-E1DCDFAE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2</cp:revision>
  <dcterms:created xsi:type="dcterms:W3CDTF">2024-05-09T01:10:00Z</dcterms:created>
  <dcterms:modified xsi:type="dcterms:W3CDTF">2024-05-09T01:10:00Z</dcterms:modified>
</cp:coreProperties>
</file>