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0" w:lineRule="auto"/>
        <w:jc w:val="center"/>
        <w:rPr>
          <w:rFonts w:ascii="Questrial" w:cs="Questrial" w:eastAsia="Questrial" w:hAnsi="Questrial"/>
          <w:b w:val="1"/>
          <w:sz w:val="20"/>
          <w:szCs w:val="20"/>
        </w:rPr>
      </w:pPr>
      <w:r w:rsidDel="00000000" w:rsidR="00000000" w:rsidRPr="00000000">
        <w:rPr>
          <w:rFonts w:ascii="Roboto" w:cs="Roboto" w:eastAsia="Roboto" w:hAnsi="Roboto"/>
          <w:b w:val="1"/>
          <w:i w:val="1"/>
          <w:sz w:val="20"/>
          <w:szCs w:val="20"/>
          <w:rtl w:val="0"/>
        </w:rPr>
        <w:br w:type="textWrapping"/>
      </w:r>
      <w:r w:rsidDel="00000000" w:rsidR="00000000" w:rsidRPr="00000000">
        <w:rPr>
          <w:rFonts w:ascii="Questrial" w:cs="Questrial" w:eastAsia="Questrial" w:hAnsi="Questrial"/>
          <w:b w:val="1"/>
          <w:sz w:val="20"/>
          <w:szCs w:val="20"/>
          <w:rtl w:val="0"/>
        </w:rPr>
        <w:t xml:space="preserve">Melbourne – August 8th, 2022 - For Immediate release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0" w:lineRule="auto"/>
        <w:jc w:val="center"/>
        <w:rPr>
          <w:rFonts w:ascii="Questrial" w:cs="Questrial" w:eastAsia="Questrial" w:hAnsi="Questrial"/>
          <w:sz w:val="20"/>
          <w:szCs w:val="20"/>
          <w:u w:val="single"/>
        </w:rPr>
      </w:pPr>
      <w:r w:rsidDel="00000000" w:rsidR="00000000" w:rsidRPr="00000000">
        <w:rPr>
          <w:rFonts w:ascii="Questrial" w:cs="Questrial" w:eastAsia="Questrial" w:hAnsi="Questrial"/>
          <w:b w:val="1"/>
          <w:sz w:val="20"/>
          <w:szCs w:val="20"/>
          <w:u w:val="single"/>
          <w:rtl w:val="0"/>
        </w:rPr>
        <w:t xml:space="preserve">Work Perks that Work - GoodCompany's Best Workplaces to Give Back Awards heroes </w:t>
        <w:br w:type="textWrapping"/>
        <w:t xml:space="preserve">the purposeful perks that employees really want.</w:t>
      </w:r>
      <w:r w:rsidDel="00000000" w:rsidR="00000000" w:rsidRPr="00000000">
        <w:rPr>
          <w:rFonts w:ascii="Questrial" w:cs="Questrial" w:eastAsia="Questrial" w:hAnsi="Questrial"/>
          <w:sz w:val="20"/>
          <w:szCs w:val="20"/>
          <w:u w:val="single"/>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u w:val="single"/>
        </w:rPr>
      </w:pPr>
      <w:r w:rsidDel="00000000" w:rsidR="00000000" w:rsidRPr="00000000">
        <w:rPr>
          <w:rFonts w:ascii="Questrial" w:cs="Questrial" w:eastAsia="Questrial" w:hAnsi="Questrial"/>
          <w:sz w:val="20"/>
          <w:szCs w:val="20"/>
          <w:u w:val="single"/>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Irrespective of economic headwinds, Australia’s unemployment rate persists at around</w:t>
      </w:r>
      <w:hyperlink r:id="rId6">
        <w:r w:rsidDel="00000000" w:rsidR="00000000" w:rsidRPr="00000000">
          <w:rPr>
            <w:rFonts w:ascii="Questrial" w:cs="Questrial" w:eastAsia="Questrial" w:hAnsi="Questrial"/>
            <w:sz w:val="20"/>
            <w:szCs w:val="20"/>
            <w:rtl w:val="0"/>
          </w:rPr>
          <w:t xml:space="preserve"> </w:t>
        </w:r>
      </w:hyperlink>
      <w:hyperlink r:id="rId7">
        <w:r w:rsidDel="00000000" w:rsidR="00000000" w:rsidRPr="00000000">
          <w:rPr>
            <w:rFonts w:ascii="Questrial" w:cs="Questrial" w:eastAsia="Questrial" w:hAnsi="Questrial"/>
            <w:sz w:val="20"/>
            <w:szCs w:val="20"/>
            <w:u w:val="single"/>
            <w:rtl w:val="0"/>
          </w:rPr>
          <w:t xml:space="preserve">3.9%</w:t>
        </w:r>
      </w:hyperlink>
      <w:r w:rsidDel="00000000" w:rsidR="00000000" w:rsidRPr="00000000">
        <w:rPr>
          <w:rFonts w:ascii="Questrial" w:cs="Questrial" w:eastAsia="Questrial" w:hAnsi="Questrial"/>
          <w:sz w:val="20"/>
          <w:szCs w:val="20"/>
          <w:rtl w:val="0"/>
        </w:rPr>
        <w:t xml:space="preserve">; its lowest </w:t>
      </w:r>
      <w:r w:rsidDel="00000000" w:rsidR="00000000" w:rsidRPr="00000000">
        <w:rPr>
          <w:rFonts w:ascii="Questrial" w:cs="Questrial" w:eastAsia="Questrial" w:hAnsi="Questrial"/>
          <w:sz w:val="20"/>
          <w:szCs w:val="20"/>
          <w:rtl w:val="0"/>
        </w:rPr>
        <w:t xml:space="preserve">since 1974. Subsequently, staff retention and engagement remain the highest priority for HR managers. Studies repeatedly show that staff are on longer motivated by novelty perks such as table tennis tables, beer taps and titbits and are driven by a greater purpose.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GoodCompany’s Best Workplaces that Give Back Awards 2022 is a national award that addresses the purposeful perks that workers want; the ability to contribute to the greater good.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“People are burned out and are looking for work that’s meaningful and fulfilling. When companies encourage and reward their workforce for supporting the causes that they’re passionate about, it helps to boost employee morale and contribute to positive workplace culture. This Award helps companies demonstrate their pro-social initiatives and impact so that they retain and attract the right talent through their employee value proposition (EVP),” says Ash Rosshandler, GoodCompany CEO.  </w:t>
        <w:br w:type="textWrapping"/>
        <w:br w:type="textWrapping"/>
        <w:t xml:space="preserve">Indeed,</w:t>
      </w:r>
      <w:hyperlink r:id="rId8">
        <w:r w:rsidDel="00000000" w:rsidR="00000000" w:rsidRPr="00000000">
          <w:rPr>
            <w:rFonts w:ascii="Questrial" w:cs="Questrial" w:eastAsia="Questrial" w:hAnsi="Questrial"/>
            <w:sz w:val="20"/>
            <w:szCs w:val="20"/>
            <w:rtl w:val="0"/>
          </w:rPr>
          <w:t xml:space="preserve"> </w:t>
        </w:r>
      </w:hyperlink>
      <w:hyperlink r:id="rId9">
        <w:r w:rsidDel="00000000" w:rsidR="00000000" w:rsidRPr="00000000">
          <w:rPr>
            <w:rFonts w:ascii="Questrial" w:cs="Questrial" w:eastAsia="Questrial" w:hAnsi="Questrial"/>
            <w:sz w:val="20"/>
            <w:szCs w:val="20"/>
            <w:u w:val="single"/>
            <w:rtl w:val="0"/>
          </w:rPr>
          <w:t xml:space="preserve">Atlassian</w:t>
        </w:r>
      </w:hyperlink>
      <w:r w:rsidDel="00000000" w:rsidR="00000000" w:rsidRPr="00000000">
        <w:rPr>
          <w:rFonts w:ascii="Questrial" w:cs="Questrial" w:eastAsia="Questrial" w:hAnsi="Questrial"/>
          <w:sz w:val="20"/>
          <w:szCs w:val="20"/>
          <w:rtl w:val="0"/>
        </w:rPr>
        <w:t xml:space="preserve"> found that 66% of Australians agreed that companies who engage in actions to tackle social and environmental change are more attractive and the</w:t>
      </w:r>
      <w:hyperlink r:id="rId10">
        <w:r w:rsidDel="00000000" w:rsidR="00000000" w:rsidRPr="00000000">
          <w:rPr>
            <w:rFonts w:ascii="Questrial" w:cs="Questrial" w:eastAsia="Questrial" w:hAnsi="Questrial"/>
            <w:sz w:val="20"/>
            <w:szCs w:val="20"/>
            <w:rtl w:val="0"/>
          </w:rPr>
          <w:t xml:space="preserve"> </w:t>
        </w:r>
      </w:hyperlink>
      <w:hyperlink r:id="rId11">
        <w:r w:rsidDel="00000000" w:rsidR="00000000" w:rsidRPr="00000000">
          <w:rPr>
            <w:rFonts w:ascii="Questrial" w:cs="Questrial" w:eastAsia="Questrial" w:hAnsi="Questrial"/>
            <w:sz w:val="20"/>
            <w:szCs w:val="20"/>
            <w:u w:val="single"/>
            <w:rtl w:val="0"/>
          </w:rPr>
          <w:t xml:space="preserve">Australian Institute of Management</w:t>
        </w:r>
      </w:hyperlink>
      <w:r w:rsidDel="00000000" w:rsidR="00000000" w:rsidRPr="00000000">
        <w:rPr>
          <w:rFonts w:ascii="Questrial" w:cs="Questrial" w:eastAsia="Questrial" w:hAnsi="Questrial"/>
          <w:sz w:val="20"/>
          <w:szCs w:val="20"/>
          <w:rtl w:val="0"/>
        </w:rPr>
        <w:t xml:space="preserve"> found that employee resignation rates are significantly lower in companies that have a strong CSR policy.  </w:t>
      </w:r>
      <w:r w:rsidDel="00000000" w:rsidR="00000000" w:rsidRPr="00000000">
        <w:rPr>
          <w:rFonts w:ascii="Questrial" w:cs="Questrial" w:eastAsia="Questrial" w:hAnsi="Questrial"/>
          <w:sz w:val="24"/>
          <w:szCs w:val="24"/>
          <w:rtl w:val="0"/>
        </w:rPr>
        <w:t xml:space="preserve">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Now in its 4</w:t>
      </w:r>
      <w:r w:rsidDel="00000000" w:rsidR="00000000" w:rsidRPr="00000000">
        <w:rPr>
          <w:rFonts w:ascii="Questrial" w:cs="Questrial" w:eastAsia="Questrial" w:hAnsi="Questrial"/>
          <w:sz w:val="28"/>
          <w:szCs w:val="28"/>
          <w:vertAlign w:val="superscript"/>
          <w:rtl w:val="0"/>
        </w:rPr>
        <w:t xml:space="preserve">th</w:t>
      </w:r>
      <w:r w:rsidDel="00000000" w:rsidR="00000000" w:rsidRPr="00000000">
        <w:rPr>
          <w:rFonts w:ascii="Questrial" w:cs="Questrial" w:eastAsia="Questrial" w:hAnsi="Questrial"/>
          <w:sz w:val="20"/>
          <w:szCs w:val="20"/>
          <w:rtl w:val="0"/>
        </w:rPr>
        <w:t xml:space="preserve"> year, the Award celebrates outstanding corporate giving by companies of all sizes by measuring how companies give back via Payroll Giving, Paid Volunteer Leave, Matching Donations, Fundraising, Sponsorship, Staff Rewards, Pro social initiatives and Diversity and Inclusion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“Last year 94% of companies applying for the award offered an open choice of charities to support. This demonstrates their commitment to Diversity and Inclusion as it enables their people to support over 1800 causes. Since 2018, the number of companies offering uncapped matched giving has almost doubled to 25% and companies offering Paid Volunteer Leave has jumped from 87% in 2018 to 94% in 2021,” said Mr Rosshandler.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rPr>
          <w:rFonts w:ascii="Questrial" w:cs="Questrial" w:eastAsia="Questrial" w:hAnsi="Questrial"/>
          <w:sz w:val="18"/>
          <w:szCs w:val="18"/>
        </w:rPr>
      </w:pPr>
      <w:r w:rsidDel="00000000" w:rsidR="00000000" w:rsidRPr="00000000">
        <w:rPr>
          <w:rFonts w:ascii="Questrial" w:cs="Questrial" w:eastAsia="Questrial" w:hAnsi="Questrial"/>
          <w:sz w:val="18"/>
          <w:szCs w:val="1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In 2021, Mirvac Group took first place, with King &amp; Wood Mallesons coming in second and Origin Energy third. Mirvac Head of Sustainability Sarah Clarke said: “Community service makes us all better connected and we feel that we receive more than we give from those experiences. One of the big assets any company has is the capability of its workforce. Our people know how to solve all sorts of problems and it’s important that we use those skills not just at work, but also as a force for good.”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rPr>
          <w:rFonts w:ascii="Questrial" w:cs="Questrial" w:eastAsia="Questrial" w:hAnsi="Questrial"/>
          <w:sz w:val="18"/>
          <w:szCs w:val="18"/>
        </w:rPr>
      </w:pPr>
      <w:r w:rsidDel="00000000" w:rsidR="00000000" w:rsidRPr="00000000">
        <w:rPr>
          <w:rFonts w:ascii="Questrial" w:cs="Questrial" w:eastAsia="Questrial" w:hAnsi="Questrial"/>
          <w:sz w:val="18"/>
          <w:szCs w:val="18"/>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This year’s winner will also receive a complimentary ride on the GoodCompany Volunteer Mystery Bus that takes teams of up to 10 corporate volunteers to the area of greatest need.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Entering is free and entries open Monday 8th August. Winners will be announced on Thursday 8th September, 2022.  For more information go to </w:t>
      </w:r>
      <w:hyperlink r:id="rId12">
        <w:r w:rsidDel="00000000" w:rsidR="00000000" w:rsidRPr="00000000">
          <w:rPr>
            <w:rFonts w:ascii="Questrial" w:cs="Questrial" w:eastAsia="Questrial" w:hAnsi="Questrial"/>
            <w:color w:val="1155cc"/>
            <w:sz w:val="20"/>
            <w:szCs w:val="20"/>
            <w:u w:val="single"/>
            <w:rtl w:val="0"/>
          </w:rPr>
          <w:t xml:space="preserve">www.bestplacetogiveback.com.au </w:t>
        </w:r>
      </w:hyperlink>
      <w:r w:rsidDel="00000000" w:rsidR="00000000" w:rsidRPr="00000000">
        <w:rPr>
          <w:rFonts w:ascii="Questrial" w:cs="Questrial" w:eastAsia="Questrial" w:hAnsi="Questrial"/>
          <w:sz w:val="20"/>
          <w:szCs w:val="20"/>
          <w:rtl w:val="0"/>
        </w:rPr>
        <w:br w:type="textWrapping"/>
      </w:r>
      <w:r w:rsidDel="00000000" w:rsidR="00000000" w:rsidRPr="00000000">
        <w:rPr>
          <w:rFonts w:ascii="Roboto" w:cs="Roboto" w:eastAsia="Roboto" w:hAnsi="Roboto"/>
          <w:sz w:val="20"/>
          <w:szCs w:val="20"/>
          <w:rtl w:val="0"/>
        </w:rPr>
        <w:br w:type="textWrapping"/>
      </w:r>
      <w:r w:rsidDel="00000000" w:rsidR="00000000" w:rsidRPr="00000000">
        <w:rPr>
          <w:rFonts w:ascii="Questrial" w:cs="Questrial" w:eastAsia="Questrial" w:hAnsi="Questrial"/>
          <w:sz w:val="20"/>
          <w:szCs w:val="20"/>
          <w:rtl w:val="0"/>
        </w:rPr>
        <w:t xml:space="preserve">For story images /quotes contact Ash Rosshandler, CEO GoodCompany Australia and NZ Phone: 0414 400 445   Email: </w:t>
      </w:r>
      <w:hyperlink r:id="rId13">
        <w:r w:rsidDel="00000000" w:rsidR="00000000" w:rsidRPr="00000000">
          <w:rPr>
            <w:rFonts w:ascii="Questrial" w:cs="Questrial" w:eastAsia="Questrial" w:hAnsi="Questrial"/>
            <w:color w:val="1155cc"/>
            <w:sz w:val="20"/>
            <w:szCs w:val="20"/>
            <w:u w:val="single"/>
            <w:rtl w:val="0"/>
          </w:rPr>
          <w:t xml:space="preserve">ash@goodcompany.org</w:t>
        </w:r>
      </w:hyperlink>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Questrial" w:cs="Questrial" w:eastAsia="Questrial" w:hAnsi="Questrial"/>
          <w:sz w:val="20"/>
          <w:szCs w:val="20"/>
        </w:rPr>
      </w:pPr>
      <w:r w:rsidDel="00000000" w:rsidR="00000000" w:rsidRPr="00000000">
        <w:rPr>
          <w:rFonts w:ascii="Questrial" w:cs="Questrial" w:eastAsia="Questrial" w:hAnsi="Questrial"/>
          <w:b w:val="1"/>
          <w:sz w:val="20"/>
          <w:szCs w:val="20"/>
          <w:rtl w:val="0"/>
        </w:rPr>
        <w:t xml:space="preserve">About GoodCompany: </w:t>
        <w:br w:type="textWrapping"/>
        <w:br w:type="textWrapping"/>
      </w:r>
      <w:r w:rsidDel="00000000" w:rsidR="00000000" w:rsidRPr="00000000">
        <w:rPr>
          <w:rFonts w:ascii="Questrial" w:cs="Questrial" w:eastAsia="Questrial" w:hAnsi="Questrial"/>
          <w:sz w:val="20"/>
          <w:szCs w:val="20"/>
          <w:rtl w:val="0"/>
        </w:rPr>
        <w:t xml:space="preserve">GoodCompany is the proud sponsor of Australia’s Best Workplaces to Give Back Award. Founded in 2000, GoodCompany is the Australia’s largest unified Workplace Giving, Volunteering, Fundraising and Rewards Software Platform. Trusted by Australia’s leading companies to empower their staff to volunteer, donate and fundraise with the favourite charities,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GoodCompany has helped over 100,000 donors to donate over $25 million in cash and 200,000 hours of volunteering across 1800 charities.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Questrial" w:cs="Questrial" w:eastAsia="Questrial" w:hAnsi="Questrial"/>
          <w:sz w:val="20"/>
          <w:szCs w:val="20"/>
        </w:rPr>
      </w:pPr>
      <w:r w:rsidDel="00000000" w:rsidR="00000000" w:rsidRPr="00000000">
        <w:rPr>
          <w:rFonts w:ascii="Questrial" w:cs="Questrial" w:eastAsia="Questrial" w:hAnsi="Questrial"/>
          <w:sz w:val="20"/>
          <w:szCs w:val="20"/>
        </w:rPr>
        <w:drawing>
          <wp:inline distB="114300" distT="114300" distL="114300" distR="114300">
            <wp:extent cx="2814638" cy="1213361"/>
            <wp:effectExtent b="0" l="0" r="0" t="0"/>
            <wp:docPr id="1"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2814638" cy="1213361"/>
                    </a:xfrm>
                    <a:prstGeom prst="rect"/>
                    <a:ln/>
                  </pic:spPr>
                </pic:pic>
              </a:graphicData>
            </a:graphic>
          </wp:inline>
        </w:drawing>
      </w:r>
      <w:r w:rsidDel="00000000" w:rsidR="00000000" w:rsidRPr="00000000">
        <w:rPr>
          <w:rFonts w:ascii="Questrial" w:cs="Questrial" w:eastAsia="Questrial" w:hAnsi="Questrial"/>
          <w:sz w:val="20"/>
          <w:szCs w:val="20"/>
          <w:rtl w:val="0"/>
        </w:rPr>
        <w:t xml:space="preserve">                                         </w:t>
      </w:r>
      <w:r w:rsidDel="00000000" w:rsidR="00000000" w:rsidRPr="00000000">
        <w:rPr>
          <w:rFonts w:ascii="Questrial" w:cs="Questrial" w:eastAsia="Questrial" w:hAnsi="Questrial"/>
          <w:sz w:val="20"/>
          <w:szCs w:val="20"/>
        </w:rPr>
        <w:drawing>
          <wp:inline distB="114300" distT="114300" distL="114300" distR="114300">
            <wp:extent cx="1884986" cy="1884986"/>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884986" cy="1884986"/>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70" w:lineRule="auto"/>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 w:name="Questrial">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rFonts w:ascii="Quicksand" w:cs="Quicksand" w:eastAsia="Quicksand" w:hAnsi="Quicksand"/>
        <w:sz w:val="14"/>
        <w:szCs w:val="14"/>
      </w:rPr>
    </w:pPr>
    <w:r w:rsidDel="00000000" w:rsidR="00000000" w:rsidRPr="00000000">
      <w:rPr/>
      <w:drawing>
        <wp:inline distB="114300" distT="114300" distL="114300" distR="114300">
          <wp:extent cx="1219200" cy="525057"/>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19200" cy="525057"/>
                  </a:xfrm>
                  <a:prstGeom prst="rect"/>
                  <a:ln/>
                </pic:spPr>
              </pic:pic>
            </a:graphicData>
          </a:graphic>
        </wp:inline>
      </w:drawing>
    </w:r>
    <w:r w:rsidDel="00000000" w:rsidR="00000000" w:rsidRPr="00000000">
      <w:rPr>
        <w:rtl w:val="0"/>
      </w:rPr>
      <w:t xml:space="preserve">  </w:t>
      <w:br w:type="textWrapping"/>
    </w:r>
    <w:hyperlink r:id="rId2">
      <w:r w:rsidDel="00000000" w:rsidR="00000000" w:rsidRPr="00000000">
        <w:rPr>
          <w:rFonts w:ascii="Quicksand" w:cs="Quicksand" w:eastAsia="Quicksand" w:hAnsi="Quicksand"/>
          <w:sz w:val="14"/>
          <w:szCs w:val="14"/>
          <w:u w:val="single"/>
          <w:rtl w:val="0"/>
        </w:rPr>
        <w:t xml:space="preserve">www.goodcompany.org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eek.com.au/employer/market-insights/corporate-social-responsibility-why-giving-back-matters-to-employees" TargetMode="External"/><Relationship Id="rId10" Type="http://schemas.openxmlformats.org/officeDocument/2006/relationships/hyperlink" Target="https://www.seek.com.au/employer/market-insights/corporate-social-responsibility-why-giving-back-matters-to-employees" TargetMode="External"/><Relationship Id="rId13" Type="http://schemas.openxmlformats.org/officeDocument/2006/relationships/hyperlink" Target="mailto:ash@goodcompany.org" TargetMode="External"/><Relationship Id="rId12" Type="http://schemas.openxmlformats.org/officeDocument/2006/relationships/hyperlink" Target="http://www.bestplacetogiveback.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tlassian.com/blog/leadership/return-on-action-report-2021-employee-expectations" TargetMode="External"/><Relationship Id="rId15" Type="http://schemas.openxmlformats.org/officeDocument/2006/relationships/image" Target="media/image2.png"/><Relationship Id="rId14" Type="http://schemas.openxmlformats.org/officeDocument/2006/relationships/image" Target="media/image1.jp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bs.gov.au/media-centre/media-releases/unemployment-rate-falls-35" TargetMode="External"/><Relationship Id="rId7" Type="http://schemas.openxmlformats.org/officeDocument/2006/relationships/hyperlink" Target="https://www.abs.gov.au/media-centre/media-releases/unemployment-rate-falls-35" TargetMode="External"/><Relationship Id="rId8" Type="http://schemas.openxmlformats.org/officeDocument/2006/relationships/hyperlink" Target="https://www.atlassian.com/blog/leadership/return-on-action-report-2021-employee-expect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 Id="rId7"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goodcompa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