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36776" w14:textId="77777777" w:rsidR="00A133F1" w:rsidRDefault="00A133F1">
      <w:pPr>
        <w:pStyle w:val="Body"/>
      </w:pPr>
    </w:p>
    <w:p w14:paraId="727063E0" w14:textId="77777777" w:rsidR="00A133F1" w:rsidRDefault="00A133F1">
      <w:pPr>
        <w:pStyle w:val="Body"/>
        <w:rPr>
          <w:b/>
          <w:bCs/>
        </w:rPr>
      </w:pPr>
    </w:p>
    <w:p w14:paraId="5CB48BB9" w14:textId="77777777" w:rsidR="00A133F1" w:rsidRDefault="00A133F1">
      <w:pPr>
        <w:pStyle w:val="Body"/>
        <w:rPr>
          <w:b/>
          <w:bCs/>
        </w:rPr>
      </w:pPr>
    </w:p>
    <w:p w14:paraId="15612215" w14:textId="1C90F65F" w:rsidR="00A133F1" w:rsidRDefault="00E175B1">
      <w:pPr>
        <w:pStyle w:val="Body"/>
        <w:rPr>
          <w:b/>
          <w:bCs/>
        </w:rPr>
      </w:pPr>
      <w:r>
        <w:rPr>
          <w:b/>
          <w:bCs/>
          <w:noProof/>
          <w14:textOutline w14:w="0" w14:cap="rnd" w14:cmpd="sng" w14:algn="ctr">
            <w14:noFill/>
            <w14:prstDash w14:val="solid"/>
            <w14:bevel/>
          </w14:textOutline>
        </w:rPr>
        <w:drawing>
          <wp:inline distT="0" distB="0" distL="0" distR="0" wp14:anchorId="7B3A1061" wp14:editId="7D0F9147">
            <wp:extent cx="1244600" cy="838200"/>
            <wp:effectExtent l="0" t="0" r="0" b="0"/>
            <wp:docPr id="724431329" name="Picture 1" descr="A windmill and map of austral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431329" name="Picture 1" descr="A windmill and map of australia&#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44600" cy="838200"/>
                    </a:xfrm>
                    <a:prstGeom prst="rect">
                      <a:avLst/>
                    </a:prstGeom>
                  </pic:spPr>
                </pic:pic>
              </a:graphicData>
            </a:graphic>
          </wp:inline>
        </w:drawing>
      </w:r>
      <w:r>
        <w:rPr>
          <w:b/>
          <w:bCs/>
        </w:rPr>
        <w:t xml:space="preserve">https://rmsa-au.org </w:t>
      </w:r>
    </w:p>
    <w:p w14:paraId="4A654C5B" w14:textId="77777777" w:rsidR="00A133F1" w:rsidRDefault="00A133F1">
      <w:pPr>
        <w:pStyle w:val="Body"/>
        <w:rPr>
          <w:b/>
          <w:bCs/>
        </w:rPr>
      </w:pPr>
    </w:p>
    <w:p w14:paraId="2B2F18E6" w14:textId="77777777" w:rsidR="00A133F1" w:rsidRDefault="00A133F1">
      <w:pPr>
        <w:pStyle w:val="Body"/>
        <w:rPr>
          <w:b/>
          <w:bCs/>
        </w:rPr>
      </w:pPr>
    </w:p>
    <w:p w14:paraId="48DB013A" w14:textId="77777777" w:rsidR="00A133F1" w:rsidRDefault="00A133F1">
      <w:pPr>
        <w:pStyle w:val="Body"/>
        <w:rPr>
          <w:b/>
          <w:bCs/>
        </w:rPr>
      </w:pPr>
    </w:p>
    <w:p w14:paraId="14CAE776" w14:textId="77777777" w:rsidR="00A133F1" w:rsidRDefault="00000000">
      <w:pPr>
        <w:pStyle w:val="Body"/>
        <w:rPr>
          <w:b/>
          <w:bCs/>
        </w:rPr>
      </w:pPr>
      <w:r>
        <w:rPr>
          <w:b/>
          <w:bCs/>
          <w:lang w:val="en-US"/>
        </w:rPr>
        <w:t xml:space="preserve">REGIONAL MEDICAL </w:t>
      </w:r>
      <w:proofErr w:type="gramStart"/>
      <w:r>
        <w:rPr>
          <w:b/>
          <w:bCs/>
          <w:lang w:val="en-US"/>
        </w:rPr>
        <w:t>SPECIALISTS</w:t>
      </w:r>
      <w:proofErr w:type="gramEnd"/>
      <w:r>
        <w:rPr>
          <w:b/>
          <w:bCs/>
          <w:lang w:val="en-US"/>
        </w:rPr>
        <w:t xml:space="preserve"> ASSOCIATION CALLS FOR ACTION ON WORKFORCE</w:t>
      </w:r>
    </w:p>
    <w:p w14:paraId="471E6818" w14:textId="77777777" w:rsidR="00A133F1" w:rsidRDefault="00A133F1">
      <w:pPr>
        <w:pStyle w:val="Body"/>
        <w:rPr>
          <w:b/>
          <w:bCs/>
        </w:rPr>
      </w:pPr>
    </w:p>
    <w:p w14:paraId="748C2C78" w14:textId="77777777" w:rsidR="00A133F1" w:rsidRDefault="00000000">
      <w:pPr>
        <w:pStyle w:val="Body"/>
        <w:rPr>
          <w:rFonts w:eastAsia="Arial Unicode MS" w:cs="Arial Unicode MS"/>
          <w:lang w:val="en-US"/>
        </w:rPr>
      </w:pPr>
      <w:r>
        <w:rPr>
          <w:rFonts w:eastAsia="Arial Unicode MS" w:cs="Arial Unicode MS"/>
          <w:lang w:val="en-US"/>
        </w:rPr>
        <w:t>The Regional Medical Specialists Association (RMSA) has issued a call for urgent action on Medical Specialist services in Regional Australia.</w:t>
      </w:r>
    </w:p>
    <w:p w14:paraId="5C294A54" w14:textId="77777777" w:rsidR="007E7E89" w:rsidRDefault="007E7E89">
      <w:pPr>
        <w:pStyle w:val="Body"/>
        <w:rPr>
          <w:rFonts w:eastAsia="Arial Unicode MS" w:cs="Arial Unicode MS"/>
          <w:lang w:val="en-US"/>
        </w:rPr>
      </w:pPr>
    </w:p>
    <w:p w14:paraId="4A4CC47A" w14:textId="5E65A74D" w:rsidR="007E7E89" w:rsidRDefault="007E7E89">
      <w:pPr>
        <w:pStyle w:val="Body"/>
      </w:pPr>
      <w:r>
        <w:rPr>
          <w:rFonts w:eastAsia="Arial Unicode MS" w:cs="Arial Unicode MS"/>
          <w:lang w:val="en-US"/>
        </w:rPr>
        <w:t>People living in regional Australia depend upon medical specialists as well as GPs.  The Medical Specialist workforce in regional Australia is under continuing and increasing threat.</w:t>
      </w:r>
    </w:p>
    <w:p w14:paraId="4092E9EF" w14:textId="77777777" w:rsidR="00A133F1" w:rsidRDefault="00A133F1">
      <w:pPr>
        <w:pStyle w:val="Body"/>
      </w:pPr>
    </w:p>
    <w:p w14:paraId="5F2556B4" w14:textId="77777777" w:rsidR="00A133F1" w:rsidRDefault="00000000">
      <w:pPr>
        <w:pStyle w:val="Body"/>
      </w:pPr>
      <w:r>
        <w:rPr>
          <w:rFonts w:eastAsia="Arial Unicode MS" w:cs="Arial Unicode MS"/>
          <w:lang w:val="en-US"/>
        </w:rPr>
        <w:t>This requires action by Commonwealth, specialist training institutions, State and Local Government:</w:t>
      </w:r>
    </w:p>
    <w:p w14:paraId="367C3246" w14:textId="77777777" w:rsidR="00A133F1" w:rsidRDefault="00000000">
      <w:pPr>
        <w:pStyle w:val="Body"/>
        <w:numPr>
          <w:ilvl w:val="0"/>
          <w:numId w:val="2"/>
        </w:numPr>
        <w:rPr>
          <w:lang w:val="en-US"/>
        </w:rPr>
      </w:pPr>
      <w:r>
        <w:rPr>
          <w:lang w:val="en-US"/>
        </w:rPr>
        <w:t xml:space="preserve">The Commonwealth needs to streamline its processes for allowing </w:t>
      </w:r>
      <w:proofErr w:type="gramStart"/>
      <w:r>
        <w:rPr>
          <w:lang w:val="en-US"/>
        </w:rPr>
        <w:t>Internationally-Qualified</w:t>
      </w:r>
      <w:proofErr w:type="gramEnd"/>
      <w:r>
        <w:rPr>
          <w:lang w:val="en-US"/>
        </w:rPr>
        <w:t xml:space="preserve"> Health Practitioners (IQHPs) to gain entry into and registration in Australia;</w:t>
      </w:r>
    </w:p>
    <w:p w14:paraId="55A17D12" w14:textId="77777777" w:rsidR="00A133F1" w:rsidRDefault="00000000">
      <w:pPr>
        <w:pStyle w:val="Body"/>
        <w:numPr>
          <w:ilvl w:val="0"/>
          <w:numId w:val="2"/>
        </w:numPr>
        <w:rPr>
          <w:lang w:val="en-US"/>
        </w:rPr>
      </w:pPr>
      <w:r>
        <w:rPr>
          <w:lang w:val="en-US"/>
        </w:rPr>
        <w:t xml:space="preserve">Commonwealth and States must ensure that areas of medical workforce shortages are identified as and when they </w:t>
      </w:r>
      <w:proofErr w:type="gramStart"/>
      <w:r>
        <w:rPr>
          <w:lang w:val="en-US"/>
        </w:rPr>
        <w:t>occur;</w:t>
      </w:r>
      <w:proofErr w:type="gramEnd"/>
    </w:p>
    <w:p w14:paraId="2F480CFB" w14:textId="77777777" w:rsidR="00A133F1" w:rsidRDefault="00000000">
      <w:pPr>
        <w:pStyle w:val="Body"/>
        <w:numPr>
          <w:ilvl w:val="0"/>
          <w:numId w:val="2"/>
        </w:numPr>
        <w:rPr>
          <w:lang w:val="en-US"/>
        </w:rPr>
      </w:pPr>
      <w:r>
        <w:rPr>
          <w:lang w:val="en-US"/>
        </w:rPr>
        <w:t xml:space="preserve">Training institutions and rural communities must ensure that training and working as a medical specialist </w:t>
      </w:r>
      <w:r>
        <w:rPr>
          <w:lang w:val="de-DE"/>
        </w:rPr>
        <w:t>in Regional Australia</w:t>
      </w:r>
      <w:r>
        <w:rPr>
          <w:lang w:val="en-US"/>
        </w:rPr>
        <w:t xml:space="preserve"> is seen to be attractive and rewarding.</w:t>
      </w:r>
    </w:p>
    <w:p w14:paraId="7A26D32B" w14:textId="77777777" w:rsidR="00A133F1" w:rsidRDefault="00A133F1">
      <w:pPr>
        <w:pStyle w:val="Body"/>
      </w:pPr>
    </w:p>
    <w:p w14:paraId="3E801E98" w14:textId="77777777" w:rsidR="00A133F1" w:rsidRDefault="00000000">
      <w:pPr>
        <w:pStyle w:val="Body"/>
      </w:pPr>
      <w:r>
        <w:rPr>
          <w:rFonts w:ascii="Arial Unicode MS" w:eastAsia="Arial Unicode MS" w:hAnsi="Arial Unicode MS" w:cs="Arial Unicode MS"/>
        </w:rPr>
        <w:br w:type="page"/>
      </w:r>
    </w:p>
    <w:p w14:paraId="54227E5D" w14:textId="77777777" w:rsidR="00A133F1" w:rsidRDefault="00000000">
      <w:pPr>
        <w:pStyle w:val="Body"/>
        <w:jc w:val="center"/>
        <w:rPr>
          <w:b/>
          <w:bCs/>
          <w:sz w:val="32"/>
          <w:szCs w:val="32"/>
        </w:rPr>
      </w:pPr>
      <w:r>
        <w:rPr>
          <w:b/>
          <w:bCs/>
          <w:sz w:val="32"/>
          <w:szCs w:val="32"/>
          <w:lang w:val="en-US"/>
        </w:rPr>
        <w:lastRenderedPageBreak/>
        <w:t>Background</w:t>
      </w:r>
    </w:p>
    <w:p w14:paraId="4A56AB1F" w14:textId="77777777" w:rsidR="00A133F1" w:rsidRDefault="00A133F1">
      <w:pPr>
        <w:pStyle w:val="Body"/>
        <w:rPr>
          <w:b/>
          <w:bCs/>
        </w:rPr>
      </w:pPr>
    </w:p>
    <w:p w14:paraId="79EFAF55" w14:textId="77777777" w:rsidR="00A133F1" w:rsidRDefault="00000000">
      <w:pPr>
        <w:pStyle w:val="Body"/>
      </w:pPr>
      <w:r>
        <w:rPr>
          <w:rFonts w:eastAsia="Arial Unicode MS" w:cs="Arial Unicode MS"/>
          <w:lang w:val="en-US"/>
        </w:rPr>
        <w:t xml:space="preserve">The RMSA was created in response to the chronic imbalance of medical specialist </w:t>
      </w:r>
      <w:proofErr w:type="gramStart"/>
      <w:r>
        <w:rPr>
          <w:rFonts w:eastAsia="Arial Unicode MS" w:cs="Arial Unicode MS"/>
          <w:lang w:val="en-US"/>
        </w:rPr>
        <w:t>workforce  between</w:t>
      </w:r>
      <w:proofErr w:type="gramEnd"/>
      <w:r>
        <w:rPr>
          <w:rFonts w:eastAsia="Arial Unicode MS" w:cs="Arial Unicode MS"/>
          <w:lang w:val="en-US"/>
        </w:rPr>
        <w:t xml:space="preserve"> metropolitan cities and regional </w:t>
      </w:r>
      <w:proofErr w:type="spellStart"/>
      <w:r>
        <w:rPr>
          <w:rFonts w:eastAsia="Arial Unicode MS" w:cs="Arial Unicode MS"/>
          <w:lang w:val="en-US"/>
        </w:rPr>
        <w:t>centres</w:t>
      </w:r>
      <w:proofErr w:type="spellEnd"/>
      <w:r>
        <w:rPr>
          <w:rFonts w:eastAsia="Arial Unicode MS" w:cs="Arial Unicode MS"/>
          <w:lang w:val="en-US"/>
        </w:rPr>
        <w:t>. This imbalance is worsening, not improving.</w:t>
      </w:r>
    </w:p>
    <w:p w14:paraId="7B263F5E" w14:textId="77777777" w:rsidR="00A133F1" w:rsidRDefault="00A133F1">
      <w:pPr>
        <w:pStyle w:val="Body"/>
      </w:pPr>
    </w:p>
    <w:p w14:paraId="055A0425" w14:textId="77777777" w:rsidR="00A133F1" w:rsidRDefault="00000000">
      <w:pPr>
        <w:pStyle w:val="Body"/>
        <w:rPr>
          <w:b/>
          <w:bCs/>
        </w:rPr>
      </w:pPr>
      <w:r>
        <w:rPr>
          <w:b/>
          <w:bCs/>
          <w:lang w:val="en-US"/>
        </w:rPr>
        <w:t>The Commonwealth’s responsibilities</w:t>
      </w:r>
    </w:p>
    <w:p w14:paraId="695DB0D1" w14:textId="77777777" w:rsidR="00A133F1" w:rsidRDefault="00000000">
      <w:pPr>
        <w:pStyle w:val="Body"/>
      </w:pPr>
      <w:r>
        <w:rPr>
          <w:rFonts w:eastAsia="Arial Unicode MS" w:cs="Arial Unicode MS"/>
          <w:lang w:val="en-US"/>
        </w:rPr>
        <w:t xml:space="preserve">An independent review of health practitioner regulatory settings was undertaken by Robyn Kruk AO. This </w:t>
      </w:r>
      <w:hyperlink r:id="rId8" w:history="1">
        <w:r>
          <w:rPr>
            <w:rStyle w:val="Hyperlink0"/>
            <w:rFonts w:eastAsia="Arial Unicode MS" w:cs="Arial Unicode MS"/>
            <w:lang w:val="en-US"/>
          </w:rPr>
          <w:t>report</w:t>
        </w:r>
      </w:hyperlink>
      <w:r>
        <w:rPr>
          <w:rFonts w:eastAsia="Arial Unicode MS" w:cs="Arial Unicode MS"/>
          <w:lang w:val="en-US"/>
        </w:rPr>
        <w:t>, endorsed by National Cabinet in December 2023, concludes that,</w:t>
      </w:r>
    </w:p>
    <w:p w14:paraId="4A5536AA" w14:textId="77777777" w:rsidR="00A133F1" w:rsidRDefault="00000000">
      <w:pPr>
        <w:pStyle w:val="Body"/>
        <w:ind w:left="720"/>
        <w:rPr>
          <w:i/>
          <w:iCs/>
        </w:rPr>
      </w:pPr>
      <w:r>
        <w:rPr>
          <w:rFonts w:eastAsia="Arial Unicode MS" w:cs="Arial Unicode MS"/>
          <w:i/>
          <w:iCs/>
          <w:lang w:val="en-US"/>
        </w:rPr>
        <w:t xml:space="preserve">“…removing unnecessary regulatory barriers faced by IQHPs will improve care </w:t>
      </w:r>
      <w:r>
        <w:rPr>
          <w:rFonts w:eastAsia="Arial Unicode MS" w:cs="Arial Unicode MS"/>
          <w:i/>
          <w:iCs/>
        </w:rPr>
        <w:t>for Australians</w:t>
      </w:r>
      <w:r>
        <w:rPr>
          <w:rFonts w:eastAsia="Arial Unicode MS" w:cs="Arial Unicode MS"/>
          <w:i/>
          <w:iCs/>
          <w:lang w:val="en-US"/>
        </w:rPr>
        <w:t>”</w:t>
      </w:r>
      <w:r>
        <w:rPr>
          <w:rFonts w:eastAsia="Arial Unicode MS" w:cs="Arial Unicode MS"/>
          <w:i/>
          <w:iCs/>
        </w:rPr>
        <w:t>.</w:t>
      </w:r>
      <w:r>
        <w:rPr>
          <w:rFonts w:eastAsia="Arial Unicode MS" w:cs="Arial Unicode MS"/>
          <w:i/>
          <w:iCs/>
          <w:lang w:val="en-US"/>
        </w:rPr>
        <w:t xml:space="preserve"> </w:t>
      </w:r>
    </w:p>
    <w:p w14:paraId="421EF172" w14:textId="77777777" w:rsidR="00A133F1" w:rsidRDefault="00A133F1">
      <w:pPr>
        <w:pStyle w:val="Body"/>
        <w:rPr>
          <w:i/>
          <w:iCs/>
        </w:rPr>
      </w:pPr>
    </w:p>
    <w:p w14:paraId="38218C83" w14:textId="77777777" w:rsidR="00A133F1" w:rsidRDefault="00000000">
      <w:pPr>
        <w:pStyle w:val="Body"/>
      </w:pPr>
      <w:r>
        <w:rPr>
          <w:rFonts w:eastAsia="Arial Unicode MS" w:cs="Arial Unicode MS"/>
          <w:lang w:val="en-US"/>
        </w:rPr>
        <w:t>The RMSA does not believe that international medical graduates are a permanent solution. However, urgent action is needed now to prevent any further degradation of rural health services.</w:t>
      </w:r>
    </w:p>
    <w:p w14:paraId="7A185F38" w14:textId="77777777" w:rsidR="00A133F1" w:rsidRDefault="00A133F1">
      <w:pPr>
        <w:pStyle w:val="Body"/>
      </w:pPr>
    </w:p>
    <w:p w14:paraId="1409DB30" w14:textId="77777777" w:rsidR="00A133F1" w:rsidRDefault="00000000">
      <w:pPr>
        <w:pStyle w:val="Body"/>
        <w:rPr>
          <w:b/>
          <w:bCs/>
        </w:rPr>
      </w:pPr>
      <w:r>
        <w:rPr>
          <w:b/>
          <w:bCs/>
          <w:lang w:val="en-US"/>
        </w:rPr>
        <w:t>Responsibilities of Specialist Colleges</w:t>
      </w:r>
    </w:p>
    <w:p w14:paraId="592A6CDE" w14:textId="77777777" w:rsidR="00A133F1" w:rsidRDefault="00000000">
      <w:pPr>
        <w:pStyle w:val="Body"/>
      </w:pPr>
      <w:r>
        <w:rPr>
          <w:rFonts w:eastAsia="Arial Unicode MS" w:cs="Arial Unicode MS"/>
          <w:lang w:val="en-US"/>
        </w:rPr>
        <w:t>The Medical Board of Australia, in response to the Kruk report, has consulted the Specialist Colleges to identify which overseas qualifications are suitable for ‘fast-tracking’ of applications by IQHPs. Good-faith responses are needed, and quickly. If the Specialist Colleges do not give guidance in this process it will happen without them.</w:t>
      </w:r>
    </w:p>
    <w:p w14:paraId="4B9F75D6" w14:textId="77777777" w:rsidR="00A133F1" w:rsidRDefault="00A133F1">
      <w:pPr>
        <w:pStyle w:val="Body"/>
      </w:pPr>
    </w:p>
    <w:p w14:paraId="3F786FE1" w14:textId="707162CE" w:rsidR="00A133F1" w:rsidRDefault="00000000">
      <w:pPr>
        <w:pStyle w:val="Body"/>
      </w:pPr>
      <w:r>
        <w:rPr>
          <w:rFonts w:eastAsia="Arial Unicode MS" w:cs="Arial Unicode MS"/>
          <w:lang w:val="en-US"/>
        </w:rPr>
        <w:t xml:space="preserve">In addition, the training colleges </w:t>
      </w:r>
      <w:r w:rsidR="005A1409">
        <w:rPr>
          <w:rFonts w:eastAsia="Arial Unicode MS" w:cs="Arial Unicode MS"/>
          <w:lang w:val="en-US"/>
        </w:rPr>
        <w:t>should set</w:t>
      </w:r>
      <w:r>
        <w:rPr>
          <w:rFonts w:eastAsia="Arial Unicode MS" w:cs="Arial Unicode MS"/>
          <w:lang w:val="en-US"/>
        </w:rPr>
        <w:t xml:space="preserve"> hard targets for the numbers of trainees in rural areas. Medical specialist training should involve at least a year at a rural/regional location – ideally a third of the trainee’s time</w:t>
      </w:r>
      <w:r w:rsidR="005A1409">
        <w:rPr>
          <w:rFonts w:eastAsia="Arial Unicode MS" w:cs="Arial Unicode MS"/>
          <w:lang w:val="en-US"/>
        </w:rPr>
        <w:t>;</w:t>
      </w:r>
      <w:r>
        <w:rPr>
          <w:rFonts w:eastAsia="Arial Unicode MS" w:cs="Arial Unicode MS"/>
          <w:lang w:val="en-US"/>
        </w:rPr>
        <w:t xml:space="preserve"> proportionate to the population distribution.</w:t>
      </w:r>
      <w:r w:rsidR="00A503D5">
        <w:rPr>
          <w:rFonts w:eastAsia="Arial Unicode MS" w:cs="Arial Unicode MS"/>
          <w:lang w:val="en-US"/>
        </w:rPr>
        <w:t xml:space="preserve">  Training in rural settings is proven to increase numbers of medical graduates working in non-Metropolitan locations.</w:t>
      </w:r>
    </w:p>
    <w:p w14:paraId="0A68DC1D" w14:textId="77777777" w:rsidR="00A133F1" w:rsidRDefault="00A133F1">
      <w:pPr>
        <w:pStyle w:val="Body"/>
      </w:pPr>
    </w:p>
    <w:p w14:paraId="73D1020C" w14:textId="77777777" w:rsidR="00A133F1" w:rsidRDefault="00000000">
      <w:pPr>
        <w:pStyle w:val="Body"/>
        <w:rPr>
          <w:b/>
          <w:bCs/>
        </w:rPr>
      </w:pPr>
      <w:r>
        <w:rPr>
          <w:b/>
          <w:bCs/>
          <w:lang w:val="en-US"/>
        </w:rPr>
        <w:t>States’ responsibilities</w:t>
      </w:r>
    </w:p>
    <w:p w14:paraId="34488B6F" w14:textId="77777777" w:rsidR="00A133F1" w:rsidRDefault="00000000">
      <w:pPr>
        <w:pStyle w:val="Body"/>
      </w:pPr>
      <w:r>
        <w:rPr>
          <w:rFonts w:eastAsia="Arial Unicode MS" w:cs="Arial Unicode MS"/>
          <w:lang w:val="en-US"/>
        </w:rPr>
        <w:t>At the state level, more needs to be done to boost the financial viability and management expertise in rural hospitals. Public-private partnerships should be used more than they currently are to support specialist services in rural Australia. The Commonwealth and the States should ensure that methods for identifying medical workforce shortages are accurate and timely.</w:t>
      </w:r>
    </w:p>
    <w:p w14:paraId="5E19EB94" w14:textId="77777777" w:rsidR="00A133F1" w:rsidRDefault="00A133F1">
      <w:pPr>
        <w:pStyle w:val="Body"/>
      </w:pPr>
    </w:p>
    <w:p w14:paraId="236F66D5" w14:textId="77777777" w:rsidR="00A133F1" w:rsidRDefault="00000000">
      <w:pPr>
        <w:pStyle w:val="Body"/>
        <w:rPr>
          <w:b/>
          <w:bCs/>
        </w:rPr>
      </w:pPr>
      <w:r>
        <w:rPr>
          <w:b/>
          <w:bCs/>
          <w:lang w:val="en-US"/>
        </w:rPr>
        <w:t>Local community responses</w:t>
      </w:r>
    </w:p>
    <w:p w14:paraId="03C8B999" w14:textId="77777777" w:rsidR="00A133F1" w:rsidRDefault="00000000">
      <w:pPr>
        <w:pStyle w:val="Body"/>
      </w:pPr>
      <w:r>
        <w:rPr>
          <w:rFonts w:eastAsia="Arial Unicode MS" w:cs="Arial Unicode MS"/>
          <w:lang w:val="en-US"/>
        </w:rPr>
        <w:t xml:space="preserve">At the local community level, more effort is needed to make Regional and Rural </w:t>
      </w:r>
      <w:proofErr w:type="spellStart"/>
      <w:r>
        <w:rPr>
          <w:rFonts w:eastAsia="Arial Unicode MS" w:cs="Arial Unicode MS"/>
          <w:lang w:val="en-US"/>
        </w:rPr>
        <w:t>centres</w:t>
      </w:r>
      <w:proofErr w:type="spellEnd"/>
      <w:r>
        <w:rPr>
          <w:rFonts w:eastAsia="Arial Unicode MS" w:cs="Arial Unicode MS"/>
          <w:lang w:val="en-US"/>
        </w:rPr>
        <w:t xml:space="preserve"> more</w:t>
      </w:r>
    </w:p>
    <w:p w14:paraId="4684C93F" w14:textId="77777777" w:rsidR="00A133F1" w:rsidRDefault="00000000">
      <w:pPr>
        <w:pStyle w:val="Body"/>
      </w:pPr>
      <w:r>
        <w:rPr>
          <w:rFonts w:eastAsia="Arial Unicode MS" w:cs="Arial Unicode MS"/>
          <w:lang w:val="en-US"/>
        </w:rPr>
        <w:t xml:space="preserve">attractive to </w:t>
      </w:r>
      <w:proofErr w:type="gramStart"/>
      <w:r>
        <w:rPr>
          <w:rFonts w:eastAsia="Arial Unicode MS" w:cs="Arial Unicode MS"/>
          <w:lang w:val="en-US"/>
        </w:rPr>
        <w:t>newly-arrived</w:t>
      </w:r>
      <w:proofErr w:type="gramEnd"/>
      <w:r>
        <w:rPr>
          <w:rFonts w:eastAsia="Arial Unicode MS" w:cs="Arial Unicode MS"/>
          <w:lang w:val="en-US"/>
        </w:rPr>
        <w:t xml:space="preserve"> medical trainees and specialists. This happens in some rural </w:t>
      </w:r>
      <w:proofErr w:type="gramStart"/>
      <w:r>
        <w:rPr>
          <w:rFonts w:eastAsia="Arial Unicode MS" w:cs="Arial Unicode MS"/>
          <w:lang w:val="en-US"/>
        </w:rPr>
        <w:t>areas, but</w:t>
      </w:r>
      <w:proofErr w:type="gramEnd"/>
      <w:r>
        <w:rPr>
          <w:rFonts w:eastAsia="Arial Unicode MS" w:cs="Arial Unicode MS"/>
          <w:lang w:val="en-US"/>
        </w:rPr>
        <w:t xml:space="preserve"> is not widespread. </w:t>
      </w:r>
    </w:p>
    <w:p w14:paraId="6F29453C" w14:textId="77777777" w:rsidR="00A133F1" w:rsidRDefault="00A133F1">
      <w:pPr>
        <w:pStyle w:val="Body"/>
      </w:pPr>
    </w:p>
    <w:p w14:paraId="1D51F65A" w14:textId="77777777" w:rsidR="00A133F1" w:rsidRDefault="00000000">
      <w:pPr>
        <w:pStyle w:val="Body"/>
        <w:rPr>
          <w:b/>
          <w:bCs/>
        </w:rPr>
      </w:pPr>
      <w:r>
        <w:rPr>
          <w:b/>
          <w:bCs/>
          <w:lang w:val="en-US"/>
        </w:rPr>
        <w:t>Financial implications</w:t>
      </w:r>
    </w:p>
    <w:p w14:paraId="6C648F38" w14:textId="77777777" w:rsidR="00A133F1" w:rsidRDefault="00000000">
      <w:pPr>
        <w:pStyle w:val="Body"/>
      </w:pPr>
      <w:r>
        <w:rPr>
          <w:rFonts w:eastAsia="Arial Unicode MS" w:cs="Arial Unicode MS"/>
          <w:lang w:val="en-US"/>
        </w:rPr>
        <w:t xml:space="preserve">The RMSA is not calling for financial incentives for individual doctors: this has been tried and failed. Rather, we call for better supports for trainees and specialists moving from metropolitan areas to regional </w:t>
      </w:r>
      <w:proofErr w:type="spellStart"/>
      <w:r>
        <w:rPr>
          <w:rFonts w:eastAsia="Arial Unicode MS" w:cs="Arial Unicode MS"/>
          <w:lang w:val="en-US"/>
        </w:rPr>
        <w:t>centres</w:t>
      </w:r>
      <w:proofErr w:type="spellEnd"/>
      <w:r>
        <w:rPr>
          <w:rFonts w:eastAsia="Arial Unicode MS" w:cs="Arial Unicode MS"/>
          <w:lang w:val="en-US"/>
        </w:rPr>
        <w:t>. The cost of this support should be seen as investments in rural communities, for the benefit of all Australians.</w:t>
      </w:r>
    </w:p>
    <w:p w14:paraId="68D73DD8" w14:textId="77777777" w:rsidR="00A133F1" w:rsidRDefault="00000000">
      <w:pPr>
        <w:pStyle w:val="Body"/>
      </w:pPr>
      <w:r>
        <w:rPr>
          <w:rFonts w:ascii="Arial Unicode MS" w:eastAsia="Arial Unicode MS" w:hAnsi="Arial Unicode MS" w:cs="Arial Unicode MS"/>
        </w:rPr>
        <w:br w:type="page"/>
      </w:r>
    </w:p>
    <w:p w14:paraId="246C73E4" w14:textId="77777777" w:rsidR="00A133F1" w:rsidRDefault="00A133F1">
      <w:pPr>
        <w:pStyle w:val="Body"/>
      </w:pPr>
    </w:p>
    <w:p w14:paraId="6FA6C54C" w14:textId="77777777" w:rsidR="00A133F1" w:rsidRDefault="00000000">
      <w:pPr>
        <w:pStyle w:val="Body"/>
        <w:jc w:val="center"/>
        <w:rPr>
          <w:b/>
          <w:bCs/>
          <w:i/>
          <w:iCs/>
          <w:sz w:val="32"/>
          <w:szCs w:val="32"/>
        </w:rPr>
      </w:pPr>
      <w:r>
        <w:rPr>
          <w:b/>
          <w:bCs/>
          <w:i/>
          <w:iCs/>
          <w:sz w:val="32"/>
          <w:szCs w:val="32"/>
          <w:lang w:val="en-US"/>
        </w:rPr>
        <w:t>Source material</w:t>
      </w:r>
    </w:p>
    <w:p w14:paraId="6BEBDBC9" w14:textId="77777777" w:rsidR="00A133F1" w:rsidRDefault="00A133F1">
      <w:pPr>
        <w:pStyle w:val="Body"/>
        <w:rPr>
          <w:b/>
          <w:bCs/>
          <w:i/>
          <w:iCs/>
        </w:rPr>
      </w:pPr>
    </w:p>
    <w:p w14:paraId="525B8C81" w14:textId="77777777" w:rsidR="00A133F1" w:rsidRDefault="00000000">
      <w:pPr>
        <w:pStyle w:val="Body"/>
        <w:rPr>
          <w:b/>
          <w:bCs/>
        </w:rPr>
      </w:pPr>
      <w:r>
        <w:rPr>
          <w:b/>
          <w:bCs/>
          <w:lang w:val="en-US"/>
        </w:rPr>
        <w:t>Health inequity</w:t>
      </w:r>
    </w:p>
    <w:p w14:paraId="1D2A0CA7" w14:textId="77777777" w:rsidR="00A133F1" w:rsidRDefault="00000000">
      <w:pPr>
        <w:pStyle w:val="Body"/>
      </w:pPr>
      <w:r>
        <w:rPr>
          <w:rFonts w:eastAsia="Arial Unicode MS" w:cs="Arial Unicode MS"/>
          <w:lang w:val="en-US"/>
        </w:rPr>
        <w:t>Medical workforce imbalance creates dramatic health inequities between rural Australians and their city counterparts. Rates of cancer (</w:t>
      </w:r>
      <w:r>
        <w:rPr>
          <w:rFonts w:eastAsia="Arial Unicode MS" w:cs="Arial Unicode MS"/>
          <w:i/>
          <w:iCs/>
          <w:lang w:val="en-US"/>
        </w:rPr>
        <w:t xml:space="preserve">see: </w:t>
      </w:r>
      <w:r>
        <w:rPr>
          <w:rFonts w:eastAsia="Arial Unicode MS" w:cs="Arial Unicode MS"/>
          <w:lang w:val="en-US"/>
        </w:rPr>
        <w:t>Australian Cancer Council’s</w:t>
      </w:r>
      <w:r>
        <w:rPr>
          <w:rFonts w:eastAsia="Arial Unicode MS" w:cs="Arial Unicode MS"/>
          <w:i/>
          <w:iCs/>
          <w:color w:val="0076BA"/>
          <w:lang w:val="en-US"/>
        </w:rPr>
        <w:t xml:space="preserve"> </w:t>
      </w:r>
      <w:hyperlink r:id="rId9" w:history="1">
        <w:r>
          <w:rPr>
            <w:rStyle w:val="Hyperlink0"/>
            <w:rFonts w:eastAsia="Arial Unicode MS" w:cs="Arial Unicode MS"/>
            <w:lang w:val="en-US"/>
          </w:rPr>
          <w:t>Australian Cancer Atlas</w:t>
        </w:r>
      </w:hyperlink>
      <w:r>
        <w:rPr>
          <w:rFonts w:eastAsia="Arial Unicode MS" w:cs="Arial Unicode MS"/>
          <w:lang w:val="en-US"/>
        </w:rPr>
        <w:t>) and heart disease (</w:t>
      </w:r>
      <w:r>
        <w:rPr>
          <w:rFonts w:eastAsia="Arial Unicode MS" w:cs="Arial Unicode MS"/>
          <w:i/>
          <w:iCs/>
          <w:lang w:val="en-US"/>
        </w:rPr>
        <w:t xml:space="preserve">see: </w:t>
      </w:r>
      <w:r>
        <w:rPr>
          <w:rFonts w:eastAsia="Arial Unicode MS" w:cs="Arial Unicode MS"/>
          <w:lang w:val="en-US"/>
        </w:rPr>
        <w:t>Heart Foundation’s interactive</w:t>
      </w:r>
      <w:r>
        <w:rPr>
          <w:rFonts w:eastAsia="Arial Unicode MS" w:cs="Arial Unicode MS"/>
          <w:color w:val="0076BA"/>
          <w:lang w:val="en-US"/>
        </w:rPr>
        <w:t xml:space="preserve"> </w:t>
      </w:r>
      <w:hyperlink r:id="rId10" w:history="1">
        <w:r>
          <w:rPr>
            <w:rStyle w:val="Hyperlink0"/>
            <w:rFonts w:eastAsia="Arial Unicode MS" w:cs="Arial Unicode MS"/>
            <w:lang w:val="en-US"/>
          </w:rPr>
          <w:t>Heart Maps</w:t>
        </w:r>
      </w:hyperlink>
      <w:r>
        <w:rPr>
          <w:rFonts w:eastAsia="Arial Unicode MS" w:cs="Arial Unicode MS"/>
          <w:lang w:val="en-US"/>
        </w:rPr>
        <w:t xml:space="preserve">) rise the further a person lives away from a capital city: diagnosis is later and treatment less successful. Life expectancy falls with distance from Metropolitan </w:t>
      </w:r>
      <w:proofErr w:type="spellStart"/>
      <w:r>
        <w:rPr>
          <w:rFonts w:eastAsia="Arial Unicode MS" w:cs="Arial Unicode MS"/>
          <w:lang w:val="en-US"/>
        </w:rPr>
        <w:t>centres</w:t>
      </w:r>
      <w:proofErr w:type="spellEnd"/>
      <w:r>
        <w:rPr>
          <w:rFonts w:eastAsia="Arial Unicode MS" w:cs="Arial Unicode MS"/>
          <w:lang w:val="en-US"/>
        </w:rPr>
        <w:t>, as shown by the</w:t>
      </w:r>
      <w:r>
        <w:rPr>
          <w:rFonts w:eastAsia="Arial Unicode MS" w:cs="Arial Unicode MS"/>
          <w:color w:val="0076BA"/>
          <w:lang w:val="en-US"/>
        </w:rPr>
        <w:t xml:space="preserve"> </w:t>
      </w:r>
      <w:hyperlink r:id="rId11" w:history="1">
        <w:r>
          <w:rPr>
            <w:rStyle w:val="Hyperlink0"/>
            <w:rFonts w:eastAsia="Arial Unicode MS" w:cs="Arial Unicode MS"/>
            <w:lang w:val="en-US"/>
          </w:rPr>
          <w:t>Australian Institute of Health and Welfare</w:t>
        </w:r>
      </w:hyperlink>
      <w:r>
        <w:rPr>
          <w:rFonts w:eastAsia="Arial Unicode MS" w:cs="Arial Unicode MS"/>
          <w:lang w:val="en-US"/>
        </w:rPr>
        <w:t>.</w:t>
      </w:r>
    </w:p>
    <w:p w14:paraId="713429B3" w14:textId="77777777" w:rsidR="00A133F1" w:rsidRDefault="00A133F1">
      <w:pPr>
        <w:pStyle w:val="Body"/>
      </w:pPr>
    </w:p>
    <w:p w14:paraId="7930995B" w14:textId="77777777" w:rsidR="00A133F1" w:rsidRDefault="00000000">
      <w:pPr>
        <w:pStyle w:val="Body"/>
      </w:pPr>
      <w:r>
        <w:rPr>
          <w:rFonts w:eastAsia="Arial Unicode MS" w:cs="Arial Unicode MS"/>
          <w:lang w:val="en-US"/>
        </w:rPr>
        <w:t>This chart, from the Commonwealth’s Medical Workforce Data Sets, shows the dramatic reduction in medical specialists from Inner Metropolitan areas (Modified Monash Model 1) through inner regional areas (MM2) and beyond.  This is not the distribution of the Australian population:</w:t>
      </w:r>
      <w:r>
        <w:rPr>
          <w:noProof/>
        </w:rPr>
        <w:drawing>
          <wp:anchor distT="152400" distB="152400" distL="152400" distR="152400" simplePos="0" relativeHeight="251659264" behindDoc="0" locked="0" layoutInCell="1" allowOverlap="1" wp14:anchorId="7720F2BF" wp14:editId="460D6DF1">
            <wp:simplePos x="0" y="0"/>
            <wp:positionH relativeFrom="margin">
              <wp:posOffset>-6350</wp:posOffset>
            </wp:positionH>
            <wp:positionV relativeFrom="line">
              <wp:posOffset>152400</wp:posOffset>
            </wp:positionV>
            <wp:extent cx="6120057" cy="4327481"/>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2"/>
                    <a:stretch>
                      <a:fillRect/>
                    </a:stretch>
                  </pic:blipFill>
                  <pic:spPr>
                    <a:xfrm>
                      <a:off x="0" y="0"/>
                      <a:ext cx="6120057" cy="4327481"/>
                    </a:xfrm>
                    <a:prstGeom prst="rect">
                      <a:avLst/>
                    </a:prstGeom>
                    <a:ln w="12700" cap="flat">
                      <a:noFill/>
                      <a:miter lim="400000"/>
                    </a:ln>
                    <a:effectLst/>
                  </pic:spPr>
                </pic:pic>
              </a:graphicData>
            </a:graphic>
          </wp:anchor>
        </w:drawing>
      </w:r>
    </w:p>
    <w:p w14:paraId="58783676"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proofErr w:type="gramStart"/>
      <w:r>
        <w:rPr>
          <w:sz w:val="22"/>
          <w:szCs w:val="22"/>
        </w:rPr>
        <w:t>Despite the fact that</w:t>
      </w:r>
      <w:proofErr w:type="gramEnd"/>
      <w:r>
        <w:rPr>
          <w:sz w:val="22"/>
          <w:szCs w:val="22"/>
        </w:rPr>
        <w:t xml:space="preserve"> over 30% of Australians live outside of Metropolitan areas, only 10% of</w:t>
      </w:r>
    </w:p>
    <w:p w14:paraId="16CE3731"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medical specialists live and work there. We cannot hope to improve the health outlook for rural</w:t>
      </w:r>
    </w:p>
    <w:p w14:paraId="002822FA"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Australians unless this imbalance is fixed. People in rural Australia depend on local hospitals</w:t>
      </w:r>
    </w:p>
    <w:p w14:paraId="1ED291EF"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 xml:space="preserve">staffed around the clock by specialist surgeons, physicians, obstetricians and </w:t>
      </w:r>
      <w:proofErr w:type="spellStart"/>
      <w:r>
        <w:rPr>
          <w:sz w:val="22"/>
          <w:szCs w:val="22"/>
        </w:rPr>
        <w:t>paediatricians</w:t>
      </w:r>
      <w:proofErr w:type="spellEnd"/>
      <w:r>
        <w:rPr>
          <w:sz w:val="22"/>
          <w:szCs w:val="22"/>
        </w:rPr>
        <w:t>.</w:t>
      </w:r>
    </w:p>
    <w:p w14:paraId="0F3551C0" w14:textId="77777777" w:rsidR="00A133F1" w:rsidRDefault="00A133F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p>
    <w:p w14:paraId="0B8DDF09"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2"/>
          <w:szCs w:val="22"/>
        </w:rPr>
      </w:pPr>
      <w:r>
        <w:rPr>
          <w:b/>
          <w:bCs/>
          <w:sz w:val="22"/>
          <w:szCs w:val="22"/>
        </w:rPr>
        <w:t>Urgent specialist medical workforce issues</w:t>
      </w:r>
    </w:p>
    <w:p w14:paraId="5CB21D28" w14:textId="77777777" w:rsidR="00A133F1" w:rsidRDefault="00000000">
      <w:pPr>
        <w:pStyle w:val="Body"/>
      </w:pPr>
      <w:r>
        <w:rPr>
          <w:rFonts w:eastAsia="Arial Unicode MS" w:cs="Arial Unicode MS"/>
          <w:lang w:val="en-US"/>
        </w:rPr>
        <w:t xml:space="preserve">In addition to chronic workforce shortages, several acute issues currently threaten services in regional </w:t>
      </w:r>
      <w:proofErr w:type="spellStart"/>
      <w:r>
        <w:rPr>
          <w:rFonts w:eastAsia="Arial Unicode MS" w:cs="Arial Unicode MS"/>
          <w:lang w:val="en-US"/>
        </w:rPr>
        <w:t>centres</w:t>
      </w:r>
      <w:proofErr w:type="spellEnd"/>
      <w:r>
        <w:rPr>
          <w:rFonts w:eastAsia="Arial Unicode MS" w:cs="Arial Unicode MS"/>
          <w:lang w:val="en-US"/>
        </w:rPr>
        <w:t xml:space="preserve">. These </w:t>
      </w:r>
      <w:proofErr w:type="spellStart"/>
      <w:r>
        <w:rPr>
          <w:rFonts w:eastAsia="Arial Unicode MS" w:cs="Arial Unicode MS"/>
          <w:lang w:val="en-US"/>
        </w:rPr>
        <w:t>centres</w:t>
      </w:r>
      <w:proofErr w:type="spellEnd"/>
      <w:r>
        <w:rPr>
          <w:rFonts w:eastAsia="Arial Unicode MS" w:cs="Arial Unicode MS"/>
          <w:lang w:val="en-US"/>
        </w:rPr>
        <w:t xml:space="preserve"> are not </w:t>
      </w:r>
      <w:proofErr w:type="spellStart"/>
      <w:r>
        <w:rPr>
          <w:rFonts w:eastAsia="Arial Unicode MS" w:cs="Arial Unicode MS"/>
          <w:lang w:val="en-US"/>
        </w:rPr>
        <w:t>recognised</w:t>
      </w:r>
      <w:proofErr w:type="spellEnd"/>
      <w:r>
        <w:rPr>
          <w:rFonts w:eastAsia="Arial Unicode MS" w:cs="Arial Unicode MS"/>
          <w:lang w:val="en-US"/>
        </w:rPr>
        <w:t xml:space="preserve"> as districts of medical workforce shortage, as Medicare data are the main source of information used. Medicare data includes ‘outreach’, telehealth or temporary locum services in regional areas provided by specialists living in metropolitan areas. It does not accurately reflect the situation in regional communities.</w:t>
      </w:r>
    </w:p>
    <w:p w14:paraId="38156CE9" w14:textId="77777777" w:rsidR="00A133F1" w:rsidRDefault="00A133F1">
      <w:pPr>
        <w:pStyle w:val="Body"/>
      </w:pPr>
    </w:p>
    <w:p w14:paraId="28FFF745"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b/>
          <w:bCs/>
          <w:sz w:val="22"/>
          <w:szCs w:val="22"/>
        </w:rPr>
      </w:pPr>
      <w:r>
        <w:rPr>
          <w:b/>
          <w:bCs/>
          <w:sz w:val="22"/>
          <w:szCs w:val="22"/>
        </w:rPr>
        <w:lastRenderedPageBreak/>
        <w:t>Commonwealth initiatives on medical workforce</w:t>
      </w:r>
    </w:p>
    <w:p w14:paraId="7EBDD69F"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 xml:space="preserve">Commonwealth initiatives including the </w:t>
      </w:r>
      <w:hyperlink r:id="rId13" w:history="1">
        <w:r>
          <w:rPr>
            <w:rStyle w:val="Link"/>
            <w:color w:val="0076BA"/>
            <w:sz w:val="22"/>
            <w:szCs w:val="22"/>
          </w:rPr>
          <w:t>National Medical Workforce Strategy 2021-2031</w:t>
        </w:r>
      </w:hyperlink>
      <w:r>
        <w:rPr>
          <w:sz w:val="22"/>
          <w:szCs w:val="22"/>
        </w:rPr>
        <w:t xml:space="preserve"> and the</w:t>
      </w:r>
    </w:p>
    <w:p w14:paraId="53DF99AE"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hyperlink r:id="rId14" w:history="1">
        <w:r>
          <w:rPr>
            <w:rStyle w:val="Hyperlink0"/>
            <w:sz w:val="22"/>
            <w:szCs w:val="22"/>
          </w:rPr>
          <w:t>Rural Health Multidisciplinary Training Program</w:t>
        </w:r>
      </w:hyperlink>
      <w:r>
        <w:rPr>
          <w:color w:val="00A2FF"/>
          <w:sz w:val="22"/>
          <w:szCs w:val="22"/>
        </w:rPr>
        <w:t xml:space="preserve"> </w:t>
      </w:r>
      <w:r>
        <w:rPr>
          <w:sz w:val="22"/>
          <w:szCs w:val="22"/>
        </w:rPr>
        <w:t>aim to address these shortages. These will help in</w:t>
      </w:r>
    </w:p>
    <w:p w14:paraId="44179515"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the long-term, but not immediately. It takes at least 12 years to train a qualified medical specialist</w:t>
      </w:r>
    </w:p>
    <w:p w14:paraId="57BF1D8B" w14:textId="77777777"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from entry into Medical School.</w:t>
      </w:r>
    </w:p>
    <w:p w14:paraId="59DD524F" w14:textId="77777777" w:rsidR="00A133F1" w:rsidRDefault="00A133F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p>
    <w:p w14:paraId="1AAB815C" w14:textId="5CA53E56" w:rsidR="00A133F1"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sz w:val="22"/>
          <w:szCs w:val="22"/>
        </w:rPr>
      </w:pPr>
      <w:r>
        <w:rPr>
          <w:sz w:val="22"/>
          <w:szCs w:val="22"/>
        </w:rPr>
        <w:t xml:space="preserve">A 2023 </w:t>
      </w:r>
      <w:hyperlink r:id="rId15" w:history="1">
        <w:r>
          <w:rPr>
            <w:rStyle w:val="Hyperlink0"/>
            <w:sz w:val="22"/>
            <w:szCs w:val="22"/>
          </w:rPr>
          <w:t>report</w:t>
        </w:r>
      </w:hyperlink>
      <w:r>
        <w:rPr>
          <w:sz w:val="22"/>
          <w:szCs w:val="22"/>
        </w:rPr>
        <w:t xml:space="preserve"> by the Nous consultancy group demonstrated that government and NGO outlays on healthcare in the regions is $6.55 billion less per year than that in Metropolitan areas. This equates to a gap of $850 per person per year.  This is </w:t>
      </w:r>
      <w:proofErr w:type="gramStart"/>
      <w:r>
        <w:rPr>
          <w:sz w:val="22"/>
          <w:szCs w:val="22"/>
        </w:rPr>
        <w:t>despite the fact that</w:t>
      </w:r>
      <w:proofErr w:type="gramEnd"/>
      <w:r>
        <w:rPr>
          <w:sz w:val="22"/>
          <w:szCs w:val="22"/>
        </w:rPr>
        <w:t xml:space="preserve"> regional Australia generates 80 percent of Australia’s export earnings - fisheries and forestry $76 billion and commodities $497 billion.</w:t>
      </w:r>
    </w:p>
    <w:p w14:paraId="408E6609" w14:textId="77777777" w:rsidR="00A133F1" w:rsidRDefault="00A133F1">
      <w:pPr>
        <w:pStyle w:val="Default"/>
        <w:spacing w:before="0" w:after="200" w:line="240" w:lineRule="auto"/>
        <w:rPr>
          <w:color w:val="333333"/>
          <w:sz w:val="32"/>
          <w:szCs w:val="32"/>
          <w:shd w:val="clear" w:color="auto" w:fill="FFFFFF"/>
        </w:rPr>
      </w:pPr>
    </w:p>
    <w:p w14:paraId="31ED4947" w14:textId="77777777" w:rsidR="00A133F1" w:rsidRDefault="00A133F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pPr>
    </w:p>
    <w:sectPr w:rsidR="00A133F1">
      <w:headerReference w:type="default" r:id="rId16"/>
      <w:footerReference w:type="default" r:id="rId1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6339D" w14:textId="77777777" w:rsidR="004F2AF3" w:rsidRDefault="004F2AF3">
      <w:r>
        <w:separator/>
      </w:r>
    </w:p>
  </w:endnote>
  <w:endnote w:type="continuationSeparator" w:id="0">
    <w:p w14:paraId="38DFCB93" w14:textId="77777777" w:rsidR="004F2AF3" w:rsidRDefault="004F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BF251" w14:textId="77777777" w:rsidR="00A133F1" w:rsidRDefault="00000000">
    <w:pPr>
      <w:pStyle w:val="HeaderFooter"/>
      <w:tabs>
        <w:tab w:val="clear" w:pos="9020"/>
        <w:tab w:val="center" w:pos="4819"/>
        <w:tab w:val="right" w:pos="9638"/>
      </w:tabs>
    </w:pPr>
    <w:r>
      <w:rPr>
        <w:sz w:val="20"/>
        <w:szCs w:val="20"/>
      </w:rPr>
      <w:tab/>
    </w:r>
    <w:r>
      <w:rPr>
        <w:sz w:val="20"/>
        <w:szCs w:val="20"/>
      </w:rPr>
      <w:tab/>
    </w:r>
    <w:r>
      <w:rPr>
        <w:sz w:val="20"/>
        <w:szCs w:val="20"/>
        <w:lang w:val="en-US"/>
      </w:rPr>
      <w:t xml:space="preserve">Page </w:t>
    </w:r>
    <w:r>
      <w:rPr>
        <w:sz w:val="20"/>
        <w:szCs w:val="20"/>
      </w:rPr>
      <w:fldChar w:fldCharType="begin"/>
    </w:r>
    <w:r>
      <w:rPr>
        <w:sz w:val="20"/>
        <w:szCs w:val="20"/>
      </w:rPr>
      <w:instrText xml:space="preserve"> PAGE </w:instrText>
    </w:r>
    <w:r>
      <w:rPr>
        <w:sz w:val="20"/>
        <w:szCs w:val="20"/>
      </w:rPr>
      <w:fldChar w:fldCharType="separate"/>
    </w:r>
    <w:r w:rsidR="005A1409">
      <w:rPr>
        <w:noProof/>
        <w:sz w:val="20"/>
        <w:szCs w:val="20"/>
      </w:rPr>
      <w:t>1</w:t>
    </w:r>
    <w:r>
      <w:rPr>
        <w:sz w:val="20"/>
        <w:szCs w:val="20"/>
      </w:rPr>
      <w:fldChar w:fldCharType="end"/>
    </w:r>
    <w:r>
      <w:rPr>
        <w:sz w:val="20"/>
        <w:szCs w:val="20"/>
        <w:lang w:val="en-US"/>
      </w:rPr>
      <w:t xml:space="preserve"> of </w:t>
    </w:r>
    <w:r>
      <w:rPr>
        <w:sz w:val="20"/>
        <w:szCs w:val="20"/>
      </w:rPr>
      <w:fldChar w:fldCharType="begin"/>
    </w:r>
    <w:r>
      <w:rPr>
        <w:sz w:val="20"/>
        <w:szCs w:val="20"/>
      </w:rPr>
      <w:instrText xml:space="preserve"> NUMPAGES </w:instrText>
    </w:r>
    <w:r>
      <w:rPr>
        <w:sz w:val="20"/>
        <w:szCs w:val="20"/>
      </w:rPr>
      <w:fldChar w:fldCharType="separate"/>
    </w:r>
    <w:r w:rsidR="005A1409">
      <w:rPr>
        <w:noProof/>
        <w:sz w:val="20"/>
        <w:szCs w:val="20"/>
      </w:rPr>
      <w:t>2</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AE222" w14:textId="77777777" w:rsidR="004F2AF3" w:rsidRDefault="004F2AF3">
      <w:r>
        <w:separator/>
      </w:r>
    </w:p>
  </w:footnote>
  <w:footnote w:type="continuationSeparator" w:id="0">
    <w:p w14:paraId="6A78B950" w14:textId="77777777" w:rsidR="004F2AF3" w:rsidRDefault="004F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6C9F2" w14:textId="77777777" w:rsidR="00A133F1" w:rsidRDefault="00A133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00685"/>
    <w:multiLevelType w:val="hybridMultilevel"/>
    <w:tmpl w:val="53C65F2C"/>
    <w:numStyleLink w:val="Bullet"/>
  </w:abstractNum>
  <w:abstractNum w:abstractNumId="1" w15:restartNumberingAfterBreak="0">
    <w:nsid w:val="33284E0E"/>
    <w:multiLevelType w:val="hybridMultilevel"/>
    <w:tmpl w:val="53C65F2C"/>
    <w:styleLink w:val="Bullet"/>
    <w:lvl w:ilvl="0" w:tplc="83BADE7A">
      <w:start w:val="1"/>
      <w:numFmt w:val="bullet"/>
      <w:lvlText w:val="•"/>
      <w:lvlJc w:val="left"/>
      <w:pPr>
        <w:ind w:left="463"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81B0C32C">
      <w:start w:val="1"/>
      <w:numFmt w:val="bullet"/>
      <w:lvlText w:val="•"/>
      <w:lvlJc w:val="left"/>
      <w:pPr>
        <w:ind w:left="643"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5388B62">
      <w:start w:val="1"/>
      <w:numFmt w:val="bullet"/>
      <w:lvlText w:val="•"/>
      <w:lvlJc w:val="left"/>
      <w:pPr>
        <w:ind w:left="823"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656DAA6">
      <w:start w:val="1"/>
      <w:numFmt w:val="bullet"/>
      <w:lvlText w:val="•"/>
      <w:lvlJc w:val="left"/>
      <w:pPr>
        <w:ind w:left="1003"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3AAD5DA">
      <w:start w:val="1"/>
      <w:numFmt w:val="bullet"/>
      <w:lvlText w:val="•"/>
      <w:lvlJc w:val="left"/>
      <w:pPr>
        <w:ind w:left="1183"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C018D9EC">
      <w:start w:val="1"/>
      <w:numFmt w:val="bullet"/>
      <w:lvlText w:val="•"/>
      <w:lvlJc w:val="left"/>
      <w:pPr>
        <w:ind w:left="1363"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F496C5D4">
      <w:start w:val="1"/>
      <w:numFmt w:val="bullet"/>
      <w:lvlText w:val="•"/>
      <w:lvlJc w:val="left"/>
      <w:pPr>
        <w:ind w:left="1543"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F74E13A">
      <w:start w:val="1"/>
      <w:numFmt w:val="bullet"/>
      <w:lvlText w:val="•"/>
      <w:lvlJc w:val="left"/>
      <w:pPr>
        <w:ind w:left="1723"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8486EEC">
      <w:start w:val="1"/>
      <w:numFmt w:val="bullet"/>
      <w:lvlText w:val="•"/>
      <w:lvlJc w:val="left"/>
      <w:pPr>
        <w:ind w:left="1903"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1616984098">
    <w:abstractNumId w:val="1"/>
  </w:num>
  <w:num w:numId="2" w16cid:durableId="1627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9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F1"/>
    <w:rsid w:val="001C651C"/>
    <w:rsid w:val="00276321"/>
    <w:rsid w:val="004F2AF3"/>
    <w:rsid w:val="005A1409"/>
    <w:rsid w:val="007E7E89"/>
    <w:rsid w:val="00804D03"/>
    <w:rsid w:val="00A133F1"/>
    <w:rsid w:val="00A503D5"/>
    <w:rsid w:val="00E17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A32DA31"/>
  <w15:docId w15:val="{A70C92DB-4DE0-2B4F-9842-E6DE5A22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Link">
    <w:name w:val="Link"/>
    <w:rPr>
      <w:u w:val="single"/>
    </w:rPr>
  </w:style>
  <w:style w:type="character" w:customStyle="1" w:styleId="Hyperlink0">
    <w:name w:val="Hyperlink.0"/>
    <w:basedOn w:val="Link"/>
    <w:rPr>
      <w:outline w:val="0"/>
      <w:color w:val="0076BA"/>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gulatoryreform.gov.au/priorities/health-practitioner-regulatory-settings-review" TargetMode="External"/><Relationship Id="rId13" Type="http://schemas.openxmlformats.org/officeDocument/2006/relationships/hyperlink" Target="https://www.health.gov.au/our-work/national-medical-workforce-strategy-2021-20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w.gov.au/reports/rural-remote-australians/rural-regional-remote-health-indicators/summary" TargetMode="External"/><Relationship Id="rId5" Type="http://schemas.openxmlformats.org/officeDocument/2006/relationships/footnotes" Target="footnotes.xml"/><Relationship Id="rId15" Type="http://schemas.openxmlformats.org/officeDocument/2006/relationships/hyperlink" Target="https://www.ruralhealth.org.au/media-release/rural-australians-missing-out-65-billion-annually-health-care-access-while-coffers" TargetMode="External"/><Relationship Id="rId10" Type="http://schemas.openxmlformats.org/officeDocument/2006/relationships/hyperlink" Target="https://www.heartfoundation.org.au/for-professionals/australian-heart-ma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tlas.cancer.org.au/atlas" TargetMode="External"/><Relationship Id="rId14" Type="http://schemas.openxmlformats.org/officeDocument/2006/relationships/hyperlink" Target="https://www.health.gov.au/our-work/rhm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Flecknoe- Brown</cp:lastModifiedBy>
  <cp:revision>3</cp:revision>
  <cp:lastPrinted>2024-07-20T05:59:00Z</cp:lastPrinted>
  <dcterms:created xsi:type="dcterms:W3CDTF">2024-07-20T05:54:00Z</dcterms:created>
  <dcterms:modified xsi:type="dcterms:W3CDTF">2024-07-21T05:27:00Z</dcterms:modified>
</cp:coreProperties>
</file>