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0767" w14:textId="4D6676CB" w:rsidR="002B6386" w:rsidRPr="00257C82" w:rsidRDefault="00B06A08" w:rsidP="00257C82">
      <w:pPr>
        <w:rPr>
          <w:rFonts w:ascii="Arial" w:hAnsi="Arial" w:cs="Arial"/>
          <w:b/>
          <w:bCs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5EC89D31" w14:textId="4AF6E6BE" w:rsidR="002B6386" w:rsidRPr="00B06A08" w:rsidRDefault="00B06A08" w:rsidP="00B06A08">
      <w:pPr>
        <w:pStyle w:val="Heading1"/>
        <w:jc w:val="left"/>
      </w:pPr>
      <w:r w:rsidRPr="00B06A08">
        <w:t>APAC Mid-Market M&amp;A Activity Demonstrates Resilience in Q1 FY25 Despite Geopolitical Challenges</w:t>
      </w:r>
      <w:r w:rsidR="002B6386">
        <w:t xml:space="preserve"> </w:t>
      </w:r>
    </w:p>
    <w:p w14:paraId="317B589A" w14:textId="07CFFC22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hyperlink r:id="rId13" w:history="1">
        <w:r w:rsidRPr="00B06A08">
          <w:rPr>
            <w:rStyle w:val="Hyperlink"/>
            <w:rFonts w:ascii="Arial" w:hAnsi="Arial" w:cs="Arial"/>
            <w:sz w:val="20"/>
            <w:szCs w:val="20"/>
          </w:rPr>
          <w:t>Moore Australia</w:t>
        </w:r>
      </w:hyperlink>
      <w:r w:rsidRPr="00B06A08">
        <w:rPr>
          <w:rFonts w:ascii="Arial" w:hAnsi="Arial" w:cs="Arial"/>
          <w:sz w:val="20"/>
          <w:szCs w:val="20"/>
        </w:rPr>
        <w:t xml:space="preserve"> today released its </w:t>
      </w:r>
      <w:r w:rsidRPr="00B06A08">
        <w:rPr>
          <w:rFonts w:ascii="Arial" w:hAnsi="Arial" w:cs="Arial"/>
          <w:b/>
          <w:bCs/>
          <w:sz w:val="20"/>
          <w:szCs w:val="20"/>
        </w:rPr>
        <w:t>APAC Mid-Market M&amp;A Report for Q1 FY25</w:t>
      </w:r>
      <w:r w:rsidRPr="00B06A08">
        <w:rPr>
          <w:rFonts w:ascii="Arial" w:hAnsi="Arial" w:cs="Arial"/>
          <w:sz w:val="20"/>
          <w:szCs w:val="20"/>
        </w:rPr>
        <w:t xml:space="preserve"> revealing that</w:t>
      </w:r>
      <w:r w:rsidR="00B66CA7">
        <w:rPr>
          <w:rFonts w:ascii="Arial" w:hAnsi="Arial" w:cs="Arial"/>
          <w:sz w:val="20"/>
          <w:szCs w:val="20"/>
        </w:rPr>
        <w:t>,</w:t>
      </w:r>
      <w:r w:rsidRPr="00B06A08">
        <w:rPr>
          <w:rFonts w:ascii="Arial" w:hAnsi="Arial" w:cs="Arial"/>
          <w:sz w:val="20"/>
          <w:szCs w:val="20"/>
        </w:rPr>
        <w:t xml:space="preserve"> despite geopolitical tensions and foreign investment restrictions, mid-market mergers and acquisition (M&amp;A) activity in the Asia-Pacific (APAC) region has shown resilience. With over </w:t>
      </w:r>
      <w:r w:rsidRPr="00B06A08">
        <w:rPr>
          <w:rFonts w:ascii="Arial" w:hAnsi="Arial" w:cs="Arial"/>
          <w:b/>
          <w:bCs/>
          <w:sz w:val="20"/>
          <w:szCs w:val="20"/>
        </w:rPr>
        <w:t>1,500 deals</w:t>
      </w:r>
      <w:r w:rsidRPr="00B06A08">
        <w:rPr>
          <w:rFonts w:ascii="Arial" w:hAnsi="Arial" w:cs="Arial"/>
          <w:sz w:val="20"/>
          <w:szCs w:val="20"/>
        </w:rPr>
        <w:t xml:space="preserve"> completed in the first quarter, representing </w:t>
      </w:r>
      <w:r w:rsidRPr="00B06A08">
        <w:rPr>
          <w:rFonts w:ascii="Arial" w:hAnsi="Arial" w:cs="Arial"/>
          <w:b/>
          <w:bCs/>
          <w:sz w:val="20"/>
          <w:szCs w:val="20"/>
        </w:rPr>
        <w:t>5% growth</w:t>
      </w:r>
      <w:r w:rsidRPr="00B06A08">
        <w:rPr>
          <w:rFonts w:ascii="Arial" w:hAnsi="Arial" w:cs="Arial"/>
          <w:sz w:val="20"/>
          <w:szCs w:val="20"/>
        </w:rPr>
        <w:t xml:space="preserve"> compared to Q1 FY24, the report highlights the region’s adaptability and continued appetite for strategic consolidation.</w:t>
      </w:r>
    </w:p>
    <w:p w14:paraId="6402EBDA" w14:textId="77777777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 xml:space="preserve">The </w:t>
      </w:r>
      <w:r w:rsidRPr="00B06A08">
        <w:rPr>
          <w:rFonts w:ascii="Arial" w:hAnsi="Arial" w:cs="Arial"/>
          <w:b/>
          <w:bCs/>
          <w:sz w:val="20"/>
          <w:szCs w:val="20"/>
        </w:rPr>
        <w:t>technology</w:t>
      </w:r>
      <w:r w:rsidRPr="00B06A08">
        <w:rPr>
          <w:rFonts w:ascii="Arial" w:hAnsi="Arial" w:cs="Arial"/>
          <w:sz w:val="20"/>
          <w:szCs w:val="20"/>
        </w:rPr>
        <w:t xml:space="preserve"> and </w:t>
      </w:r>
      <w:r w:rsidRPr="00B06A08">
        <w:rPr>
          <w:rFonts w:ascii="Arial" w:hAnsi="Arial" w:cs="Arial"/>
          <w:b/>
          <w:bCs/>
          <w:sz w:val="20"/>
          <w:szCs w:val="20"/>
        </w:rPr>
        <w:t>consumer products</w:t>
      </w:r>
      <w:r w:rsidRPr="00B06A08">
        <w:rPr>
          <w:rFonts w:ascii="Arial" w:hAnsi="Arial" w:cs="Arial"/>
          <w:sz w:val="20"/>
          <w:szCs w:val="20"/>
        </w:rPr>
        <w:t xml:space="preserve"> sectors continue to drive deal flow, with technology accounting for </w:t>
      </w:r>
      <w:r w:rsidRPr="00B06A08">
        <w:rPr>
          <w:rFonts w:ascii="Arial" w:hAnsi="Arial" w:cs="Arial"/>
          <w:b/>
          <w:bCs/>
          <w:sz w:val="20"/>
          <w:szCs w:val="20"/>
        </w:rPr>
        <w:t>23%</w:t>
      </w:r>
      <w:r w:rsidRPr="00B06A08">
        <w:rPr>
          <w:rFonts w:ascii="Arial" w:hAnsi="Arial" w:cs="Arial"/>
          <w:sz w:val="20"/>
          <w:szCs w:val="20"/>
        </w:rPr>
        <w:t xml:space="preserve"> of total deals, matching its performance from the previous year. The </w:t>
      </w:r>
      <w:r w:rsidRPr="00B06A08">
        <w:rPr>
          <w:rFonts w:ascii="Arial" w:hAnsi="Arial" w:cs="Arial"/>
          <w:b/>
          <w:bCs/>
          <w:sz w:val="20"/>
          <w:szCs w:val="20"/>
        </w:rPr>
        <w:t>consumer products sector</w:t>
      </w:r>
      <w:r w:rsidRPr="00B06A08">
        <w:rPr>
          <w:rFonts w:ascii="Arial" w:hAnsi="Arial" w:cs="Arial"/>
          <w:sz w:val="20"/>
          <w:szCs w:val="20"/>
        </w:rPr>
        <w:t xml:space="preserve"> has seen increased consolidation, rising from </w:t>
      </w:r>
      <w:r w:rsidRPr="00B06A08">
        <w:rPr>
          <w:rFonts w:ascii="Arial" w:hAnsi="Arial" w:cs="Arial"/>
          <w:b/>
          <w:bCs/>
          <w:sz w:val="20"/>
          <w:szCs w:val="20"/>
        </w:rPr>
        <w:t>10%</w:t>
      </w:r>
      <w:r w:rsidRPr="00B06A08">
        <w:rPr>
          <w:rFonts w:ascii="Arial" w:hAnsi="Arial" w:cs="Arial"/>
          <w:sz w:val="20"/>
          <w:szCs w:val="20"/>
        </w:rPr>
        <w:t xml:space="preserve"> of deals in FY24 to </w:t>
      </w:r>
      <w:r w:rsidRPr="00B06A08">
        <w:rPr>
          <w:rFonts w:ascii="Arial" w:hAnsi="Arial" w:cs="Arial"/>
          <w:b/>
          <w:bCs/>
          <w:sz w:val="20"/>
          <w:szCs w:val="20"/>
        </w:rPr>
        <w:t>16%</w:t>
      </w:r>
      <w:r w:rsidRPr="00B06A08">
        <w:rPr>
          <w:rFonts w:ascii="Arial" w:hAnsi="Arial" w:cs="Arial"/>
          <w:sz w:val="20"/>
          <w:szCs w:val="20"/>
        </w:rPr>
        <w:t xml:space="preserve"> in Q1 FY25, as businesses seek cost synergies in response to sluggish demand and rising costs.</w:t>
      </w:r>
    </w:p>
    <w:p w14:paraId="5F1EF737" w14:textId="46A5A2A1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Cross-border M&amp;A</w:t>
      </w:r>
      <w:r w:rsidRPr="00B06A08">
        <w:rPr>
          <w:rFonts w:ascii="Arial" w:hAnsi="Arial" w:cs="Arial"/>
          <w:sz w:val="20"/>
          <w:szCs w:val="20"/>
        </w:rPr>
        <w:t xml:space="preserve">, however, has seen a decline, with deals accounting for just </w:t>
      </w:r>
      <w:r w:rsidRPr="00B06A08">
        <w:rPr>
          <w:rFonts w:ascii="Arial" w:hAnsi="Arial" w:cs="Arial"/>
          <w:b/>
          <w:bCs/>
          <w:sz w:val="20"/>
          <w:szCs w:val="20"/>
        </w:rPr>
        <w:t>22%</w:t>
      </w:r>
      <w:r w:rsidRPr="00B06A08">
        <w:rPr>
          <w:rFonts w:ascii="Arial" w:hAnsi="Arial" w:cs="Arial"/>
          <w:sz w:val="20"/>
          <w:szCs w:val="20"/>
        </w:rPr>
        <w:t xml:space="preserve"> of total M&amp;A activity, down from </w:t>
      </w:r>
      <w:r w:rsidRPr="00B06A08">
        <w:rPr>
          <w:rFonts w:ascii="Arial" w:hAnsi="Arial" w:cs="Arial"/>
          <w:b/>
          <w:bCs/>
          <w:sz w:val="20"/>
          <w:szCs w:val="20"/>
        </w:rPr>
        <w:t>35%</w:t>
      </w:r>
      <w:r w:rsidRPr="00B06A08">
        <w:rPr>
          <w:rFonts w:ascii="Arial" w:hAnsi="Arial" w:cs="Arial"/>
          <w:sz w:val="20"/>
          <w:szCs w:val="20"/>
        </w:rPr>
        <w:t xml:space="preserve"> three years ago. The report attributes this decline to increased geopolitical tensions, particularly related to China and foreign investment restrictions. </w:t>
      </w:r>
      <w:proofErr w:type="gramStart"/>
      <w:r w:rsidR="00B66CA7">
        <w:rPr>
          <w:rFonts w:ascii="Arial" w:hAnsi="Arial" w:cs="Arial"/>
          <w:sz w:val="20"/>
          <w:szCs w:val="20"/>
        </w:rPr>
        <w:t>In spite of</w:t>
      </w:r>
      <w:proofErr w:type="gramEnd"/>
      <w:r w:rsidR="00B66CA7">
        <w:rPr>
          <w:rFonts w:ascii="Arial" w:hAnsi="Arial" w:cs="Arial"/>
          <w:sz w:val="20"/>
          <w:szCs w:val="20"/>
        </w:rPr>
        <w:t xml:space="preserve"> this, </w:t>
      </w:r>
      <w:r w:rsidRPr="00B06A08">
        <w:rPr>
          <w:rFonts w:ascii="Arial" w:hAnsi="Arial" w:cs="Arial"/>
          <w:sz w:val="20"/>
          <w:szCs w:val="20"/>
        </w:rPr>
        <w:t>Moore Australia remains optimistic that this trend will reverse in the coming years as new free-trade agreements take effect and foreign investment review processes across the region become more streamlined.</w:t>
      </w:r>
    </w:p>
    <w:p w14:paraId="41FEDDD6" w14:textId="5B5CD6A6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Private equity</w:t>
      </w:r>
      <w:r w:rsidRPr="00B06A08">
        <w:rPr>
          <w:rFonts w:ascii="Arial" w:hAnsi="Arial" w:cs="Arial"/>
          <w:sz w:val="20"/>
          <w:szCs w:val="20"/>
        </w:rPr>
        <w:t xml:space="preserve"> has continued to play a vital role in the mid-market, with longer holding periods observed as funds </w:t>
      </w:r>
      <w:r w:rsidR="00862E2D">
        <w:rPr>
          <w:rFonts w:ascii="Arial" w:hAnsi="Arial" w:cs="Arial"/>
          <w:sz w:val="20"/>
          <w:szCs w:val="20"/>
        </w:rPr>
        <w:t>w</w:t>
      </w:r>
      <w:r w:rsidR="00862E2D" w:rsidRPr="00862E2D">
        <w:rPr>
          <w:rFonts w:ascii="Arial" w:hAnsi="Arial" w:cs="Arial"/>
          <w:sz w:val="20"/>
          <w:szCs w:val="20"/>
        </w:rPr>
        <w:t xml:space="preserve">ait for valuations to fall </w:t>
      </w:r>
      <w:proofErr w:type="gramStart"/>
      <w:r w:rsidR="00B66CA7">
        <w:rPr>
          <w:rFonts w:ascii="Arial" w:hAnsi="Arial" w:cs="Arial"/>
          <w:sz w:val="20"/>
          <w:szCs w:val="20"/>
        </w:rPr>
        <w:t>in order to</w:t>
      </w:r>
      <w:proofErr w:type="gramEnd"/>
      <w:r w:rsidR="00862E2D" w:rsidRPr="00862E2D">
        <w:rPr>
          <w:rFonts w:ascii="Arial" w:hAnsi="Arial" w:cs="Arial"/>
          <w:sz w:val="20"/>
          <w:szCs w:val="20"/>
        </w:rPr>
        <w:t xml:space="preserve"> meet IRR hurdles</w:t>
      </w:r>
      <w:r w:rsidRPr="00B06A08">
        <w:rPr>
          <w:rFonts w:ascii="Arial" w:hAnsi="Arial" w:cs="Arial"/>
          <w:sz w:val="20"/>
          <w:szCs w:val="20"/>
        </w:rPr>
        <w:t xml:space="preserve">. The average deal size in Q1 FY25 was </w:t>
      </w:r>
      <w:r w:rsidRPr="00B06A08">
        <w:rPr>
          <w:rFonts w:ascii="Arial" w:hAnsi="Arial" w:cs="Arial"/>
          <w:b/>
          <w:bCs/>
          <w:sz w:val="20"/>
          <w:szCs w:val="20"/>
        </w:rPr>
        <w:t>$28 million</w:t>
      </w:r>
      <w:r w:rsidRPr="00B06A08">
        <w:rPr>
          <w:rFonts w:ascii="Arial" w:hAnsi="Arial" w:cs="Arial"/>
          <w:sz w:val="20"/>
          <w:szCs w:val="20"/>
        </w:rPr>
        <w:t xml:space="preserve">, in line with recent years, while </w:t>
      </w:r>
      <w:r w:rsidRPr="00B06A08">
        <w:rPr>
          <w:rFonts w:ascii="Arial" w:hAnsi="Arial" w:cs="Arial"/>
          <w:b/>
          <w:bCs/>
          <w:sz w:val="20"/>
          <w:szCs w:val="20"/>
        </w:rPr>
        <w:t>earnings multiples</w:t>
      </w:r>
      <w:r w:rsidRPr="00B06A08">
        <w:rPr>
          <w:rFonts w:ascii="Arial" w:hAnsi="Arial" w:cs="Arial"/>
          <w:sz w:val="20"/>
          <w:szCs w:val="20"/>
        </w:rPr>
        <w:t xml:space="preserve"> have increased to an average of </w:t>
      </w:r>
      <w:r w:rsidRPr="00B06A08">
        <w:rPr>
          <w:rFonts w:ascii="Arial" w:hAnsi="Arial" w:cs="Arial"/>
          <w:b/>
          <w:bCs/>
          <w:sz w:val="20"/>
          <w:szCs w:val="20"/>
        </w:rPr>
        <w:t>18 times EBITDA</w:t>
      </w:r>
      <w:r w:rsidRPr="00B06A08">
        <w:rPr>
          <w:rFonts w:ascii="Arial" w:hAnsi="Arial" w:cs="Arial"/>
          <w:sz w:val="20"/>
          <w:szCs w:val="20"/>
        </w:rPr>
        <w:t>, up from 15 times in FY24, reflecting growing confidence among investors in high-growth sectors.</w:t>
      </w:r>
    </w:p>
    <w:p w14:paraId="699120F3" w14:textId="13A3882E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>Colin Prasad, Director of Corporate Finance at Moore Australia</w:t>
      </w:r>
      <w:r>
        <w:rPr>
          <w:rFonts w:ascii="Arial" w:hAnsi="Arial" w:cs="Arial"/>
          <w:sz w:val="20"/>
          <w:szCs w:val="20"/>
        </w:rPr>
        <w:t xml:space="preserve"> (VIC/TAS)</w:t>
      </w:r>
      <w:r w:rsidRPr="00B06A08">
        <w:rPr>
          <w:rFonts w:ascii="Arial" w:hAnsi="Arial" w:cs="Arial"/>
          <w:sz w:val="20"/>
          <w:szCs w:val="20"/>
        </w:rPr>
        <w:t>, commented: "The APAC mid-market remains an attractive and dynamic environment for M&amp;A activity. Despite external pressures, businesses in sectors like technology</w:t>
      </w:r>
      <w:r w:rsidR="00B66CA7">
        <w:rPr>
          <w:rFonts w:ascii="Arial" w:hAnsi="Arial" w:cs="Arial"/>
          <w:sz w:val="20"/>
          <w:szCs w:val="20"/>
        </w:rPr>
        <w:t xml:space="preserve"> and</w:t>
      </w:r>
      <w:r w:rsidRPr="00B06A08">
        <w:rPr>
          <w:rFonts w:ascii="Arial" w:hAnsi="Arial" w:cs="Arial"/>
          <w:sz w:val="20"/>
          <w:szCs w:val="20"/>
        </w:rPr>
        <w:t xml:space="preserve"> consumer products</w:t>
      </w:r>
      <w:r w:rsidR="00862E2D">
        <w:rPr>
          <w:rFonts w:ascii="Arial" w:hAnsi="Arial" w:cs="Arial"/>
          <w:sz w:val="20"/>
          <w:szCs w:val="20"/>
        </w:rPr>
        <w:t xml:space="preserve"> </w:t>
      </w:r>
      <w:r w:rsidRPr="00B06A08">
        <w:rPr>
          <w:rFonts w:ascii="Arial" w:hAnsi="Arial" w:cs="Arial"/>
          <w:sz w:val="20"/>
          <w:szCs w:val="20"/>
        </w:rPr>
        <w:t>continue to drive growth. As geopolitical issues ease, we expect to see renewed strength in cross-border transactions, supported by improved regulatory frameworks across the region."</w:t>
      </w:r>
    </w:p>
    <w:p w14:paraId="7C7B5896" w14:textId="77777777" w:rsidR="00B06A08" w:rsidRDefault="00B06A08" w:rsidP="00B06A08">
      <w:pPr>
        <w:rPr>
          <w:rFonts w:ascii="Arial" w:hAnsi="Arial" w:cs="Arial"/>
          <w:b/>
          <w:bCs/>
          <w:sz w:val="20"/>
          <w:szCs w:val="20"/>
        </w:rPr>
      </w:pPr>
    </w:p>
    <w:p w14:paraId="7FA9EBAE" w14:textId="3679DF61" w:rsidR="00B06A08" w:rsidRPr="00B06A08" w:rsidRDefault="00B06A08" w:rsidP="00B06A08">
      <w:pPr>
        <w:rPr>
          <w:rFonts w:ascii="Arial" w:hAnsi="Arial" w:cs="Arial"/>
          <w:b/>
          <w:bCs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Key Findings of the Report:</w:t>
      </w:r>
    </w:p>
    <w:p w14:paraId="3224FEC1" w14:textId="77777777" w:rsidR="00B06A08" w:rsidRDefault="00B06A08" w:rsidP="00B06A0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1,540 deals</w:t>
      </w:r>
      <w:r w:rsidRPr="00B06A08">
        <w:rPr>
          <w:rFonts w:ascii="Arial" w:hAnsi="Arial" w:cs="Arial"/>
          <w:sz w:val="20"/>
          <w:szCs w:val="20"/>
        </w:rPr>
        <w:t xml:space="preserve"> were completed in Q1 FY25, up </w:t>
      </w:r>
      <w:r w:rsidRPr="00B06A08">
        <w:rPr>
          <w:rFonts w:ascii="Arial" w:hAnsi="Arial" w:cs="Arial"/>
          <w:b/>
          <w:bCs/>
          <w:sz w:val="20"/>
          <w:szCs w:val="20"/>
        </w:rPr>
        <w:t>5%</w:t>
      </w:r>
      <w:r w:rsidRPr="00B06A08">
        <w:rPr>
          <w:rFonts w:ascii="Arial" w:hAnsi="Arial" w:cs="Arial"/>
          <w:sz w:val="20"/>
          <w:szCs w:val="20"/>
        </w:rPr>
        <w:t xml:space="preserve"> from the same period in FY24.</w:t>
      </w:r>
    </w:p>
    <w:p w14:paraId="6F096ACA" w14:textId="77777777" w:rsidR="00B06A08" w:rsidRDefault="00B06A08" w:rsidP="00B06A0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Cross-border deals</w:t>
      </w:r>
      <w:r w:rsidRPr="00B06A08">
        <w:rPr>
          <w:rFonts w:ascii="Arial" w:hAnsi="Arial" w:cs="Arial"/>
          <w:sz w:val="20"/>
          <w:szCs w:val="20"/>
        </w:rPr>
        <w:t xml:space="preserve"> accounted for </w:t>
      </w:r>
      <w:r w:rsidRPr="00B06A08">
        <w:rPr>
          <w:rFonts w:ascii="Arial" w:hAnsi="Arial" w:cs="Arial"/>
          <w:b/>
          <w:bCs/>
          <w:sz w:val="20"/>
          <w:szCs w:val="20"/>
        </w:rPr>
        <w:t>22%</w:t>
      </w:r>
      <w:r w:rsidRPr="00B06A08">
        <w:rPr>
          <w:rFonts w:ascii="Arial" w:hAnsi="Arial" w:cs="Arial"/>
          <w:sz w:val="20"/>
          <w:szCs w:val="20"/>
        </w:rPr>
        <w:t xml:space="preserve"> of M&amp;A activity, down from </w:t>
      </w:r>
      <w:r w:rsidRPr="00B06A08">
        <w:rPr>
          <w:rFonts w:ascii="Arial" w:hAnsi="Arial" w:cs="Arial"/>
          <w:b/>
          <w:bCs/>
          <w:sz w:val="20"/>
          <w:szCs w:val="20"/>
        </w:rPr>
        <w:t>35%</w:t>
      </w:r>
      <w:r w:rsidRPr="00B06A08">
        <w:rPr>
          <w:rFonts w:ascii="Arial" w:hAnsi="Arial" w:cs="Arial"/>
          <w:sz w:val="20"/>
          <w:szCs w:val="20"/>
        </w:rPr>
        <w:t xml:space="preserve"> three years ago.</w:t>
      </w:r>
    </w:p>
    <w:p w14:paraId="0BFD6C29" w14:textId="77777777" w:rsidR="00B06A08" w:rsidRDefault="00B06A08" w:rsidP="00B06A0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 xml:space="preserve">The </w:t>
      </w:r>
      <w:r w:rsidRPr="00B06A08">
        <w:rPr>
          <w:rFonts w:ascii="Arial" w:hAnsi="Arial" w:cs="Arial"/>
          <w:b/>
          <w:bCs/>
          <w:sz w:val="20"/>
          <w:szCs w:val="20"/>
        </w:rPr>
        <w:t>technology sector</w:t>
      </w:r>
      <w:r w:rsidRPr="00B06A08">
        <w:rPr>
          <w:rFonts w:ascii="Arial" w:hAnsi="Arial" w:cs="Arial"/>
          <w:sz w:val="20"/>
          <w:szCs w:val="20"/>
        </w:rPr>
        <w:t xml:space="preserve"> accounted for </w:t>
      </w:r>
      <w:r w:rsidRPr="00B06A08">
        <w:rPr>
          <w:rFonts w:ascii="Arial" w:hAnsi="Arial" w:cs="Arial"/>
          <w:b/>
          <w:bCs/>
          <w:sz w:val="20"/>
          <w:szCs w:val="20"/>
        </w:rPr>
        <w:t>23%</w:t>
      </w:r>
      <w:r w:rsidRPr="00B06A08">
        <w:rPr>
          <w:rFonts w:ascii="Arial" w:hAnsi="Arial" w:cs="Arial"/>
          <w:sz w:val="20"/>
          <w:szCs w:val="20"/>
        </w:rPr>
        <w:t xml:space="preserve"> of deals, maintaining its leading position.</w:t>
      </w:r>
    </w:p>
    <w:p w14:paraId="3B91CEA8" w14:textId="77777777" w:rsidR="00B06A08" w:rsidRDefault="00B06A08" w:rsidP="00B06A0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 xml:space="preserve">The </w:t>
      </w:r>
      <w:r w:rsidRPr="00B06A08">
        <w:rPr>
          <w:rFonts w:ascii="Arial" w:hAnsi="Arial" w:cs="Arial"/>
          <w:b/>
          <w:bCs/>
          <w:sz w:val="20"/>
          <w:szCs w:val="20"/>
        </w:rPr>
        <w:t>consumer products sector</w:t>
      </w:r>
      <w:r w:rsidRPr="00B06A08">
        <w:rPr>
          <w:rFonts w:ascii="Arial" w:hAnsi="Arial" w:cs="Arial"/>
          <w:sz w:val="20"/>
          <w:szCs w:val="20"/>
        </w:rPr>
        <w:t xml:space="preserve"> saw its share of deals rise to </w:t>
      </w:r>
      <w:r w:rsidRPr="00B06A08">
        <w:rPr>
          <w:rFonts w:ascii="Arial" w:hAnsi="Arial" w:cs="Arial"/>
          <w:b/>
          <w:bCs/>
          <w:sz w:val="20"/>
          <w:szCs w:val="20"/>
        </w:rPr>
        <w:t>16%</w:t>
      </w:r>
      <w:r w:rsidRPr="00B06A08">
        <w:rPr>
          <w:rFonts w:ascii="Arial" w:hAnsi="Arial" w:cs="Arial"/>
          <w:sz w:val="20"/>
          <w:szCs w:val="20"/>
        </w:rPr>
        <w:t>, driven by consolidation.</w:t>
      </w:r>
    </w:p>
    <w:p w14:paraId="0F32E289" w14:textId="6A8641A9" w:rsidR="00B06A08" w:rsidRPr="00B06A08" w:rsidRDefault="00B06A08" w:rsidP="00B06A0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 xml:space="preserve">Buyers paid an average of </w:t>
      </w:r>
      <w:r w:rsidRPr="00B06A08">
        <w:rPr>
          <w:rFonts w:ascii="Arial" w:hAnsi="Arial" w:cs="Arial"/>
          <w:b/>
          <w:bCs/>
          <w:sz w:val="20"/>
          <w:szCs w:val="20"/>
        </w:rPr>
        <w:t>18 times EBITDA</w:t>
      </w:r>
      <w:r w:rsidRPr="00B06A08">
        <w:rPr>
          <w:rFonts w:ascii="Arial" w:hAnsi="Arial" w:cs="Arial"/>
          <w:sz w:val="20"/>
          <w:szCs w:val="20"/>
        </w:rPr>
        <w:t>, reflecting increased investor confidence.</w:t>
      </w:r>
    </w:p>
    <w:p w14:paraId="2E295625" w14:textId="03AC1971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>The report provides a</w:t>
      </w:r>
      <w:r w:rsidR="00862E2D">
        <w:rPr>
          <w:rFonts w:ascii="Arial" w:hAnsi="Arial" w:cs="Arial"/>
          <w:sz w:val="20"/>
          <w:szCs w:val="20"/>
        </w:rPr>
        <w:t>n over</w:t>
      </w:r>
      <w:r w:rsidRPr="00B06A08">
        <w:rPr>
          <w:rFonts w:ascii="Arial" w:hAnsi="Arial" w:cs="Arial"/>
          <w:sz w:val="20"/>
          <w:szCs w:val="20"/>
        </w:rPr>
        <w:t>view of the M&amp;A landscape in the APAC mid-market, noting the continued importance of private equity, sector-specific growth and the strategic consolidation of businesses in response to economic pressures.</w:t>
      </w:r>
    </w:p>
    <w:p w14:paraId="02DAA203" w14:textId="77777777" w:rsidR="00B06A08" w:rsidRPr="00B06A08" w:rsidRDefault="00B06A08" w:rsidP="00B06A08">
      <w:pPr>
        <w:rPr>
          <w:rFonts w:ascii="Arial" w:hAnsi="Arial" w:cs="Arial"/>
          <w:b/>
          <w:bCs/>
          <w:sz w:val="20"/>
          <w:szCs w:val="20"/>
        </w:rPr>
      </w:pPr>
      <w:r w:rsidRPr="00B06A08">
        <w:rPr>
          <w:rFonts w:ascii="Arial" w:hAnsi="Arial" w:cs="Arial"/>
          <w:b/>
          <w:bCs/>
          <w:sz w:val="20"/>
          <w:szCs w:val="20"/>
        </w:rPr>
        <w:t>About Moore Australia</w:t>
      </w:r>
    </w:p>
    <w:p w14:paraId="1885F508" w14:textId="50B1234A" w:rsidR="00B06A08" w:rsidRP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 xml:space="preserve">Moore Australia </w:t>
      </w:r>
      <w:r>
        <w:rPr>
          <w:rFonts w:ascii="Arial" w:hAnsi="Arial" w:cs="Arial"/>
          <w:sz w:val="20"/>
          <w:szCs w:val="20"/>
        </w:rPr>
        <w:t xml:space="preserve">is a network of </w:t>
      </w:r>
      <w:r w:rsidR="001D62F8">
        <w:rPr>
          <w:rFonts w:ascii="Arial" w:hAnsi="Arial" w:cs="Arial"/>
          <w:sz w:val="20"/>
          <w:szCs w:val="20"/>
        </w:rPr>
        <w:t xml:space="preserve">independent </w:t>
      </w:r>
      <w:r w:rsidR="001D62F8" w:rsidRPr="00B06A08">
        <w:rPr>
          <w:rFonts w:ascii="Arial" w:hAnsi="Arial" w:cs="Arial"/>
          <w:sz w:val="20"/>
          <w:szCs w:val="20"/>
        </w:rPr>
        <w:t>accounting</w:t>
      </w:r>
      <w:r w:rsidRPr="00B06A08">
        <w:rPr>
          <w:rFonts w:ascii="Arial" w:hAnsi="Arial" w:cs="Arial"/>
          <w:sz w:val="20"/>
          <w:szCs w:val="20"/>
        </w:rPr>
        <w:t xml:space="preserve">, advisory, and corporate finance </w:t>
      </w:r>
      <w:r>
        <w:rPr>
          <w:rFonts w:ascii="Arial" w:hAnsi="Arial" w:cs="Arial"/>
          <w:sz w:val="20"/>
          <w:szCs w:val="20"/>
        </w:rPr>
        <w:t xml:space="preserve">firms, with offices around Australia, </w:t>
      </w:r>
      <w:r w:rsidRPr="00B06A08">
        <w:rPr>
          <w:rFonts w:ascii="Arial" w:hAnsi="Arial" w:cs="Arial"/>
          <w:sz w:val="20"/>
          <w:szCs w:val="20"/>
        </w:rPr>
        <w:t xml:space="preserve">offering expert insight and analysis for businesses navigating complex market environments. </w:t>
      </w:r>
      <w:r>
        <w:rPr>
          <w:rFonts w:ascii="Arial" w:hAnsi="Arial" w:cs="Arial"/>
          <w:sz w:val="20"/>
          <w:szCs w:val="20"/>
        </w:rPr>
        <w:t xml:space="preserve">As a member of the Moore Global network, with </w:t>
      </w:r>
      <w:r w:rsidRPr="00B06A08">
        <w:rPr>
          <w:rFonts w:ascii="Arial" w:hAnsi="Arial" w:cs="Arial"/>
          <w:sz w:val="20"/>
          <w:szCs w:val="20"/>
        </w:rPr>
        <w:t>offices across the Asia-Pacific region</w:t>
      </w:r>
      <w:r>
        <w:rPr>
          <w:rFonts w:ascii="Arial" w:hAnsi="Arial" w:cs="Arial"/>
          <w:sz w:val="20"/>
          <w:szCs w:val="20"/>
        </w:rPr>
        <w:t xml:space="preserve"> and 114 countries globally,</w:t>
      </w:r>
      <w:r w:rsidRPr="00B06A08">
        <w:rPr>
          <w:rFonts w:ascii="Arial" w:hAnsi="Arial" w:cs="Arial"/>
          <w:sz w:val="20"/>
          <w:szCs w:val="20"/>
        </w:rPr>
        <w:t xml:space="preserve"> Moore Australia provides tailored solutions to help clients achieve their strategic goals in M&amp;A and beyond.</w:t>
      </w:r>
    </w:p>
    <w:p w14:paraId="6615E044" w14:textId="48666D9C" w:rsidR="00B06A08" w:rsidRDefault="00B06A08" w:rsidP="00B06A08">
      <w:pPr>
        <w:rPr>
          <w:rFonts w:ascii="Arial" w:hAnsi="Arial" w:cs="Arial"/>
          <w:sz w:val="20"/>
          <w:szCs w:val="20"/>
        </w:rPr>
      </w:pPr>
      <w:r w:rsidRPr="00B06A08">
        <w:rPr>
          <w:rFonts w:ascii="Arial" w:hAnsi="Arial" w:cs="Arial"/>
          <w:sz w:val="20"/>
          <w:szCs w:val="20"/>
        </w:rPr>
        <w:t>For more information or to access the full report, please visit</w:t>
      </w:r>
      <w:hyperlink r:id="rId14" w:tgtFrame="_new" w:history="1">
        <w:r w:rsidRPr="00ED1790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ED1790">
          <w:rPr>
            <w:rStyle w:val="Hyperlink"/>
            <w:rFonts w:ascii="Arial" w:hAnsi="Arial" w:cs="Arial"/>
            <w:sz w:val="20"/>
            <w:szCs w:val="20"/>
          </w:rPr>
          <w:t>Moore Australia’s website</w:t>
        </w:r>
      </w:hyperlink>
      <w:r w:rsidRPr="00B06A08">
        <w:rPr>
          <w:rFonts w:ascii="Arial" w:hAnsi="Arial" w:cs="Arial"/>
          <w:sz w:val="20"/>
          <w:szCs w:val="20"/>
        </w:rPr>
        <w:t xml:space="preserve"> or contact:</w:t>
      </w:r>
    </w:p>
    <w:p w14:paraId="4EB05755" w14:textId="5D17617D" w:rsidR="00ED1790" w:rsidRDefault="00ED1790" w:rsidP="00B06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Doriena Parsons</w:t>
      </w:r>
    </w:p>
    <w:p w14:paraId="2B72C440" w14:textId="19CC7CA6" w:rsidR="00ED1790" w:rsidRDefault="00ED1790" w:rsidP="00B06A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National head of strategic communications and marketing</w:t>
      </w:r>
    </w:p>
    <w:p w14:paraId="42C3418C" w14:textId="5F66F5D4" w:rsidR="00ED1790" w:rsidRPr="00B06A08" w:rsidRDefault="00ED1790" w:rsidP="00B06A08">
      <w:pPr>
        <w:rPr>
          <w:rFonts w:ascii="Arial" w:hAnsi="Arial" w:cs="Arial"/>
          <w:sz w:val="20"/>
          <w:szCs w:val="20"/>
        </w:rPr>
      </w:pPr>
      <w:hyperlink r:id="rId15" w:history="1">
        <w:r w:rsidRPr="00B50DC1">
          <w:rPr>
            <w:rStyle w:val="Hyperlink"/>
            <w:rFonts w:ascii="Arial" w:hAnsi="Arial" w:cs="Arial"/>
            <w:sz w:val="20"/>
            <w:szCs w:val="20"/>
          </w:rPr>
          <w:t>Doriena.parsons@moore-australia.com.au</w:t>
        </w:r>
      </w:hyperlink>
    </w:p>
    <w:p w14:paraId="07E0B69A" w14:textId="77777777" w:rsidR="003D559D" w:rsidRPr="005B654F" w:rsidRDefault="003D559D" w:rsidP="00B06A08">
      <w:pPr>
        <w:rPr>
          <w:rFonts w:ascii="Arial" w:hAnsi="Arial" w:cs="Arial"/>
          <w:sz w:val="20"/>
          <w:szCs w:val="20"/>
        </w:rPr>
      </w:pPr>
    </w:p>
    <w:p w14:paraId="279584D9" w14:textId="77777777" w:rsidR="003D559D" w:rsidRPr="005B654F" w:rsidRDefault="003D559D" w:rsidP="00B06A08">
      <w:pPr>
        <w:pStyle w:val="Body1"/>
        <w:jc w:val="left"/>
        <w:rPr>
          <w:lang w:val="en-AU"/>
        </w:rPr>
      </w:pPr>
    </w:p>
    <w:sectPr w:rsidR="003D559D" w:rsidRPr="005B654F" w:rsidSect="005B654F">
      <w:headerReference w:type="default" r:id="rId16"/>
      <w:pgSz w:w="11906" w:h="16838"/>
      <w:pgMar w:top="1843" w:right="1418" w:bottom="82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EE37B" w14:textId="77777777" w:rsidR="00927120" w:rsidRDefault="00927120" w:rsidP="00382947">
      <w:pPr>
        <w:spacing w:after="0" w:line="240" w:lineRule="auto"/>
      </w:pPr>
      <w:r>
        <w:separator/>
      </w:r>
    </w:p>
  </w:endnote>
  <w:endnote w:type="continuationSeparator" w:id="0">
    <w:p w14:paraId="0A231DAD" w14:textId="77777777" w:rsidR="00927120" w:rsidRDefault="00927120" w:rsidP="003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4A90" w14:textId="77777777" w:rsidR="00927120" w:rsidRDefault="00927120" w:rsidP="00382947">
      <w:pPr>
        <w:spacing w:after="0" w:line="240" w:lineRule="auto"/>
      </w:pPr>
      <w:r>
        <w:separator/>
      </w:r>
    </w:p>
  </w:footnote>
  <w:footnote w:type="continuationSeparator" w:id="0">
    <w:p w14:paraId="2A32B4AB" w14:textId="77777777" w:rsidR="00927120" w:rsidRDefault="00927120" w:rsidP="003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9502" w14:textId="77777777" w:rsidR="00FE2A77" w:rsidRDefault="00FE2A77">
    <w:pPr>
      <w:pStyle w:val="Header"/>
    </w:pPr>
    <w:r>
      <w:rPr>
        <w:noProof/>
      </w:rPr>
      <w:drawing>
        <wp:inline distT="0" distB="0" distL="0" distR="0" wp14:anchorId="01C1A92C" wp14:editId="7D83B840">
          <wp:extent cx="1363846" cy="360000"/>
          <wp:effectExtent l="0" t="0" r="0" b="254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4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D31"/>
    <w:multiLevelType w:val="multilevel"/>
    <w:tmpl w:val="AA669EA0"/>
    <w:lvl w:ilvl="0">
      <w:start w:val="1"/>
      <w:numFmt w:val="decimal"/>
      <w:pStyle w:val="Numbe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2"/>
      <w:lvlText w:val="%1.%2."/>
      <w:lvlJc w:val="left"/>
      <w:pPr>
        <w:ind w:left="792" w:hanging="432"/>
      </w:pPr>
    </w:lvl>
    <w:lvl w:ilvl="2">
      <w:start w:val="1"/>
      <w:numFmt w:val="decimal"/>
      <w:pStyle w:val="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1F405F"/>
    <w:multiLevelType w:val="multilevel"/>
    <w:tmpl w:val="825EC54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4A138F"/>
    <w:multiLevelType w:val="hybridMultilevel"/>
    <w:tmpl w:val="377C1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D04"/>
    <w:multiLevelType w:val="hybridMultilevel"/>
    <w:tmpl w:val="008AF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3BE"/>
    <w:multiLevelType w:val="multilevel"/>
    <w:tmpl w:val="65C6E92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112089"/>
    <w:multiLevelType w:val="multilevel"/>
    <w:tmpl w:val="E28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4384B"/>
    <w:multiLevelType w:val="multilevel"/>
    <w:tmpl w:val="62523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A11627"/>
    <w:multiLevelType w:val="multilevel"/>
    <w:tmpl w:val="65C6E92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75F4A38"/>
    <w:multiLevelType w:val="hybridMultilevel"/>
    <w:tmpl w:val="6DA4B796"/>
    <w:lvl w:ilvl="0" w:tplc="A7D29F5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00B0F0"/>
      </w:rPr>
    </w:lvl>
    <w:lvl w:ilvl="1" w:tplc="A5E48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75BE9"/>
    <w:multiLevelType w:val="hybridMultilevel"/>
    <w:tmpl w:val="D4125946"/>
    <w:lvl w:ilvl="0" w:tplc="3DF2EB9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007AC"/>
    <w:multiLevelType w:val="hybridMultilevel"/>
    <w:tmpl w:val="3244E8C0"/>
    <w:lvl w:ilvl="0" w:tplc="8B06DD0E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00B0F0"/>
      </w:rPr>
    </w:lvl>
    <w:lvl w:ilvl="1" w:tplc="9EBE564C">
      <w:start w:val="1"/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438B"/>
    <w:multiLevelType w:val="hybridMultilevel"/>
    <w:tmpl w:val="CE589CC2"/>
    <w:lvl w:ilvl="0" w:tplc="A7D29F5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00B0F0"/>
      </w:rPr>
    </w:lvl>
    <w:lvl w:ilvl="1" w:tplc="3328E4D4">
      <w:start w:val="1"/>
      <w:numFmt w:val="bullet"/>
      <w:pStyle w:val="Bullet3"/>
      <w:lvlText w:val="-"/>
      <w:lvlJc w:val="left"/>
      <w:pPr>
        <w:ind w:left="1440" w:hanging="360"/>
      </w:pPr>
      <w:rPr>
        <w:rFonts w:ascii="Calibri Light" w:hAnsi="Calibri Light" w:hint="default"/>
        <w:color w:val="00B0F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23796"/>
    <w:multiLevelType w:val="hybridMultilevel"/>
    <w:tmpl w:val="780242BC"/>
    <w:lvl w:ilvl="0" w:tplc="B65463E2">
      <w:start w:val="1"/>
      <w:numFmt w:val="lowerLetter"/>
      <w:pStyle w:val="Alpha1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D36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551BBB"/>
    <w:multiLevelType w:val="hybridMultilevel"/>
    <w:tmpl w:val="33E2BE6A"/>
    <w:lvl w:ilvl="0" w:tplc="E9F28272">
      <w:start w:val="1"/>
      <w:numFmt w:val="lowerRoman"/>
      <w:lvlText w:val="%1."/>
      <w:lvlJc w:val="righ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81A3DC3"/>
    <w:multiLevelType w:val="hybridMultilevel"/>
    <w:tmpl w:val="41ACC672"/>
    <w:lvl w:ilvl="0" w:tplc="98F0B5EC">
      <w:start w:val="1"/>
      <w:numFmt w:val="lowerRoman"/>
      <w:pStyle w:val="Numeral1"/>
      <w:lvlText w:val="%1."/>
      <w:lvlJc w:val="righ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27BD"/>
    <w:multiLevelType w:val="multilevel"/>
    <w:tmpl w:val="FA38F68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pStyle w:val="Numeral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31973256">
    <w:abstractNumId w:val="0"/>
  </w:num>
  <w:num w:numId="2" w16cid:durableId="1141119801">
    <w:abstractNumId w:val="6"/>
  </w:num>
  <w:num w:numId="3" w16cid:durableId="14887469">
    <w:abstractNumId w:val="12"/>
  </w:num>
  <w:num w:numId="4" w16cid:durableId="1879128284">
    <w:abstractNumId w:val="9"/>
  </w:num>
  <w:num w:numId="5" w16cid:durableId="909463145">
    <w:abstractNumId w:val="10"/>
  </w:num>
  <w:num w:numId="6" w16cid:durableId="1586110393">
    <w:abstractNumId w:val="8"/>
  </w:num>
  <w:num w:numId="7" w16cid:durableId="1239097757">
    <w:abstractNumId w:val="11"/>
  </w:num>
  <w:num w:numId="8" w16cid:durableId="1923367769">
    <w:abstractNumId w:val="15"/>
  </w:num>
  <w:num w:numId="9" w16cid:durableId="178275425">
    <w:abstractNumId w:val="13"/>
  </w:num>
  <w:num w:numId="10" w16cid:durableId="1417752493">
    <w:abstractNumId w:val="1"/>
  </w:num>
  <w:num w:numId="11" w16cid:durableId="688485910">
    <w:abstractNumId w:val="4"/>
  </w:num>
  <w:num w:numId="12" w16cid:durableId="139881689">
    <w:abstractNumId w:val="7"/>
  </w:num>
  <w:num w:numId="13" w16cid:durableId="631639291">
    <w:abstractNumId w:val="14"/>
  </w:num>
  <w:num w:numId="14" w16cid:durableId="342977680">
    <w:abstractNumId w:val="16"/>
  </w:num>
  <w:num w:numId="15" w16cid:durableId="620306962">
    <w:abstractNumId w:val="5"/>
  </w:num>
  <w:num w:numId="16" w16cid:durableId="1230767774">
    <w:abstractNumId w:val="2"/>
  </w:num>
  <w:num w:numId="17" w16cid:durableId="84810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08"/>
    <w:rsid w:val="00026B51"/>
    <w:rsid w:val="00034738"/>
    <w:rsid w:val="000542B3"/>
    <w:rsid w:val="000C2A71"/>
    <w:rsid w:val="001D62F8"/>
    <w:rsid w:val="00202A79"/>
    <w:rsid w:val="00233B6E"/>
    <w:rsid w:val="00257C82"/>
    <w:rsid w:val="002A0ACE"/>
    <w:rsid w:val="002B6386"/>
    <w:rsid w:val="0038278D"/>
    <w:rsid w:val="00382947"/>
    <w:rsid w:val="00393771"/>
    <w:rsid w:val="003D559D"/>
    <w:rsid w:val="0047156F"/>
    <w:rsid w:val="005B654F"/>
    <w:rsid w:val="0061476D"/>
    <w:rsid w:val="0068434D"/>
    <w:rsid w:val="00693734"/>
    <w:rsid w:val="006C09BA"/>
    <w:rsid w:val="006D4116"/>
    <w:rsid w:val="007F12DB"/>
    <w:rsid w:val="00862E2D"/>
    <w:rsid w:val="008842A8"/>
    <w:rsid w:val="008C0614"/>
    <w:rsid w:val="00904312"/>
    <w:rsid w:val="00927120"/>
    <w:rsid w:val="0094610C"/>
    <w:rsid w:val="00984353"/>
    <w:rsid w:val="00A525D2"/>
    <w:rsid w:val="00A74847"/>
    <w:rsid w:val="00B06A08"/>
    <w:rsid w:val="00B42999"/>
    <w:rsid w:val="00B65B37"/>
    <w:rsid w:val="00B66CA7"/>
    <w:rsid w:val="00B97073"/>
    <w:rsid w:val="00BB69F0"/>
    <w:rsid w:val="00CE2294"/>
    <w:rsid w:val="00D00706"/>
    <w:rsid w:val="00D03552"/>
    <w:rsid w:val="00D52BEF"/>
    <w:rsid w:val="00D643BB"/>
    <w:rsid w:val="00D77955"/>
    <w:rsid w:val="00DB6F13"/>
    <w:rsid w:val="00DE60EE"/>
    <w:rsid w:val="00EA5DEF"/>
    <w:rsid w:val="00EA637C"/>
    <w:rsid w:val="00ED1790"/>
    <w:rsid w:val="00EE4C8D"/>
    <w:rsid w:val="00F05BCB"/>
    <w:rsid w:val="00F631CA"/>
    <w:rsid w:val="00F7057B"/>
    <w:rsid w:val="00F864FE"/>
    <w:rsid w:val="00F93D01"/>
    <w:rsid w:val="00FC4AD8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5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7073"/>
  </w:style>
  <w:style w:type="paragraph" w:styleId="Heading1">
    <w:name w:val="heading 1"/>
    <w:link w:val="Heading1Char"/>
    <w:uiPriority w:val="9"/>
    <w:qFormat/>
    <w:rsid w:val="00DB6F13"/>
    <w:pPr>
      <w:keepNext/>
      <w:keepLines/>
      <w:spacing w:before="140" w:after="180" w:line="240" w:lineRule="auto"/>
      <w:jc w:val="both"/>
      <w:outlineLvl w:val="0"/>
    </w:pPr>
    <w:rPr>
      <w:rFonts w:ascii="Arial" w:eastAsiaTheme="majorEastAsia" w:hAnsi="Arial" w:cstheme="majorBidi"/>
      <w:b/>
      <w:color w:val="00B0F0"/>
      <w:sz w:val="28"/>
      <w:szCs w:val="32"/>
    </w:rPr>
  </w:style>
  <w:style w:type="paragraph" w:styleId="Heading2">
    <w:name w:val="heading 2"/>
    <w:link w:val="Heading2Char"/>
    <w:uiPriority w:val="9"/>
    <w:unhideWhenUsed/>
    <w:qFormat/>
    <w:rsid w:val="00DB6F13"/>
    <w:pPr>
      <w:keepNext/>
      <w:keepLines/>
      <w:spacing w:before="140" w:after="180" w:line="24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link w:val="Heading3Char"/>
    <w:uiPriority w:val="9"/>
    <w:unhideWhenUsed/>
    <w:qFormat/>
    <w:rsid w:val="00DB6F13"/>
    <w:pPr>
      <w:keepNext/>
      <w:keepLines/>
      <w:spacing w:before="140" w:after="180" w:line="240" w:lineRule="auto"/>
      <w:jc w:val="both"/>
      <w:outlineLvl w:val="2"/>
    </w:pPr>
    <w:rPr>
      <w:rFonts w:ascii="Arial" w:eastAsiaTheme="majorEastAsia" w:hAnsi="Arial" w:cstheme="majorBidi"/>
      <w:b/>
      <w:color w:val="00B0F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82947"/>
    <w:pPr>
      <w:ind w:left="720"/>
      <w:contextualSpacing/>
    </w:pPr>
  </w:style>
  <w:style w:type="paragraph" w:customStyle="1" w:styleId="Number1">
    <w:name w:val="Number 1"/>
    <w:link w:val="Number1Char"/>
    <w:qFormat/>
    <w:rsid w:val="007F12DB"/>
    <w:pPr>
      <w:numPr>
        <w:numId w:val="1"/>
      </w:numPr>
      <w:tabs>
        <w:tab w:val="num" w:pos="360"/>
      </w:tabs>
      <w:spacing w:before="140" w:after="180" w:line="240" w:lineRule="auto"/>
      <w:ind w:left="426" w:hanging="426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Number2">
    <w:name w:val="Number 2"/>
    <w:basedOn w:val="Number1"/>
    <w:link w:val="Number2Char"/>
    <w:qFormat/>
    <w:rsid w:val="007F12DB"/>
    <w:pPr>
      <w:numPr>
        <w:ilvl w:val="1"/>
      </w:numPr>
      <w:tabs>
        <w:tab w:val="num" w:pos="360"/>
      </w:tabs>
      <w:ind w:left="1134" w:hanging="573"/>
    </w:pPr>
  </w:style>
  <w:style w:type="character" w:customStyle="1" w:styleId="Number1Char">
    <w:name w:val="Number 1 Char"/>
    <w:basedOn w:val="DefaultParagraphFont"/>
    <w:link w:val="Number1"/>
    <w:rsid w:val="007F12DB"/>
    <w:rPr>
      <w:rFonts w:ascii="Arial" w:hAnsi="Arial" w:cs="Arial"/>
      <w:sz w:val="20"/>
      <w:szCs w:val="20"/>
      <w:lang w:val="en-US"/>
    </w:rPr>
  </w:style>
  <w:style w:type="paragraph" w:customStyle="1" w:styleId="Number3">
    <w:name w:val="Number 3"/>
    <w:basedOn w:val="Number2"/>
    <w:link w:val="Number3Char"/>
    <w:qFormat/>
    <w:rsid w:val="007F12DB"/>
    <w:pPr>
      <w:numPr>
        <w:ilvl w:val="2"/>
      </w:numPr>
      <w:tabs>
        <w:tab w:val="num" w:pos="360"/>
      </w:tabs>
      <w:ind w:left="1843" w:hanging="709"/>
    </w:pPr>
  </w:style>
  <w:style w:type="character" w:customStyle="1" w:styleId="Number2Char">
    <w:name w:val="Number 2 Char"/>
    <w:basedOn w:val="Number1Char"/>
    <w:link w:val="Number2"/>
    <w:rsid w:val="00DB6F13"/>
    <w:rPr>
      <w:rFonts w:ascii="Arial" w:hAnsi="Arial" w:cs="Arial"/>
      <w:sz w:val="20"/>
      <w:szCs w:val="20"/>
      <w:lang w:val="en-US"/>
    </w:rPr>
  </w:style>
  <w:style w:type="paragraph" w:customStyle="1" w:styleId="Body1">
    <w:name w:val="Body 1"/>
    <w:link w:val="Body1Char"/>
    <w:qFormat/>
    <w:rsid w:val="00DB6F13"/>
    <w:pPr>
      <w:spacing w:before="140" w:after="180" w:line="240" w:lineRule="auto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Number3Char">
    <w:name w:val="Number 3 Char"/>
    <w:basedOn w:val="Number2Char"/>
    <w:link w:val="Number3"/>
    <w:rsid w:val="007F12DB"/>
    <w:rPr>
      <w:rFonts w:ascii="Arial" w:hAnsi="Arial" w:cs="Arial"/>
      <w:sz w:val="20"/>
      <w:szCs w:val="20"/>
      <w:lang w:val="en-US"/>
    </w:rPr>
  </w:style>
  <w:style w:type="paragraph" w:styleId="Header">
    <w:name w:val="header"/>
    <w:link w:val="HeaderChar"/>
    <w:uiPriority w:val="99"/>
    <w:unhideWhenUsed/>
    <w:qFormat/>
    <w:rsid w:val="00D03552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4"/>
      <w:szCs w:val="20"/>
    </w:rPr>
  </w:style>
  <w:style w:type="character" w:customStyle="1" w:styleId="Body1Char">
    <w:name w:val="Body 1 Char"/>
    <w:basedOn w:val="DefaultParagraphFont"/>
    <w:link w:val="Body1"/>
    <w:rsid w:val="00DB6F13"/>
    <w:rPr>
      <w:rFonts w:ascii="Arial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3552"/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47"/>
  </w:style>
  <w:style w:type="paragraph" w:customStyle="1" w:styleId="Alpha1">
    <w:name w:val="Alpha 1"/>
    <w:link w:val="Alpha1Char"/>
    <w:qFormat/>
    <w:rsid w:val="00DB6F13"/>
    <w:pPr>
      <w:numPr>
        <w:numId w:val="3"/>
      </w:numPr>
      <w:spacing w:before="140" w:after="180" w:line="240" w:lineRule="auto"/>
      <w:ind w:left="567" w:hanging="425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Bullet1">
    <w:name w:val="Bullet 1"/>
    <w:link w:val="Bullet1Char"/>
    <w:qFormat/>
    <w:rsid w:val="00DB6F13"/>
    <w:pPr>
      <w:numPr>
        <w:numId w:val="4"/>
      </w:numPr>
      <w:spacing w:before="140" w:after="180" w:line="240" w:lineRule="auto"/>
      <w:ind w:left="426" w:hanging="284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Alpha1Char">
    <w:name w:val="Alpha 1 Char"/>
    <w:basedOn w:val="DefaultParagraphFont"/>
    <w:link w:val="Alpha1"/>
    <w:rsid w:val="00DB6F13"/>
    <w:rPr>
      <w:rFonts w:ascii="Arial" w:hAnsi="Arial" w:cs="Arial"/>
      <w:sz w:val="20"/>
      <w:szCs w:val="20"/>
      <w:lang w:val="en-US"/>
    </w:rPr>
  </w:style>
  <w:style w:type="paragraph" w:customStyle="1" w:styleId="Bullet2">
    <w:name w:val="Bullet 2"/>
    <w:link w:val="Bullet2Char"/>
    <w:qFormat/>
    <w:rsid w:val="00D03552"/>
    <w:pPr>
      <w:numPr>
        <w:numId w:val="5"/>
      </w:numPr>
      <w:spacing w:before="140" w:after="180"/>
      <w:ind w:left="709" w:hanging="284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Bullet1Char">
    <w:name w:val="Bullet 1 Char"/>
    <w:basedOn w:val="DefaultParagraphFont"/>
    <w:link w:val="Bullet1"/>
    <w:rsid w:val="00DB6F13"/>
    <w:rPr>
      <w:rFonts w:ascii="Arial" w:hAnsi="Arial" w:cs="Arial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F13"/>
    <w:rPr>
      <w:rFonts w:ascii="Arial" w:eastAsiaTheme="majorEastAsia" w:hAnsi="Arial" w:cstheme="majorBidi"/>
      <w:b/>
      <w:color w:val="00B0F0"/>
      <w:sz w:val="28"/>
      <w:szCs w:val="32"/>
    </w:rPr>
  </w:style>
  <w:style w:type="character" w:customStyle="1" w:styleId="Bullet2Char">
    <w:name w:val="Bullet 2 Char"/>
    <w:basedOn w:val="DefaultParagraphFont"/>
    <w:link w:val="Bullet2"/>
    <w:rsid w:val="00D03552"/>
    <w:rPr>
      <w:rFonts w:ascii="Arial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B6F13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F13"/>
    <w:rPr>
      <w:rFonts w:ascii="Arial" w:eastAsiaTheme="majorEastAsia" w:hAnsi="Arial" w:cstheme="majorBidi"/>
      <w:b/>
      <w:color w:val="00B0F0"/>
      <w:szCs w:val="24"/>
    </w:rPr>
  </w:style>
  <w:style w:type="paragraph" w:customStyle="1" w:styleId="Bullet3">
    <w:name w:val="Bullet 3"/>
    <w:link w:val="Bullet3Char"/>
    <w:qFormat/>
    <w:rsid w:val="0068434D"/>
    <w:pPr>
      <w:numPr>
        <w:ilvl w:val="1"/>
        <w:numId w:val="7"/>
      </w:numPr>
      <w:spacing w:before="140" w:after="180" w:line="240" w:lineRule="auto"/>
      <w:ind w:left="993" w:hanging="284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Numeral1">
    <w:name w:val="Numeral 1"/>
    <w:link w:val="Numeral1Char"/>
    <w:qFormat/>
    <w:rsid w:val="0061476D"/>
    <w:pPr>
      <w:numPr>
        <w:numId w:val="8"/>
      </w:numPr>
      <w:spacing w:before="140" w:after="180" w:line="240" w:lineRule="auto"/>
      <w:ind w:left="567" w:hanging="283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Bullet3Char">
    <w:name w:val="Bullet 3 Char"/>
    <w:basedOn w:val="DefaultParagraphFont"/>
    <w:link w:val="Bullet3"/>
    <w:rsid w:val="0068434D"/>
    <w:rPr>
      <w:rFonts w:ascii="Arial" w:hAnsi="Arial" w:cs="Arial"/>
      <w:sz w:val="20"/>
      <w:szCs w:val="20"/>
      <w:lang w:val="en-US"/>
    </w:rPr>
  </w:style>
  <w:style w:type="paragraph" w:customStyle="1" w:styleId="Sign-off">
    <w:name w:val="Sign-off"/>
    <w:basedOn w:val="Body1"/>
    <w:link w:val="Sign-offChar"/>
    <w:qFormat/>
    <w:rsid w:val="003D559D"/>
    <w:pPr>
      <w:spacing w:before="0" w:after="0"/>
      <w:jc w:val="left"/>
    </w:pPr>
  </w:style>
  <w:style w:type="character" w:customStyle="1" w:styleId="Numeral1Char">
    <w:name w:val="Numeral 1 Char"/>
    <w:basedOn w:val="DefaultParagraphFont"/>
    <w:link w:val="Numeral1"/>
    <w:rsid w:val="0061476D"/>
    <w:rPr>
      <w:rFonts w:ascii="Arial" w:hAnsi="Arial" w:cs="Arial"/>
      <w:sz w:val="20"/>
      <w:szCs w:val="20"/>
      <w:lang w:val="en-US"/>
    </w:rPr>
  </w:style>
  <w:style w:type="paragraph" w:customStyle="1" w:styleId="Numeral2">
    <w:name w:val="Numeral 2"/>
    <w:basedOn w:val="Numeral1"/>
    <w:link w:val="Numeral2Char"/>
    <w:qFormat/>
    <w:rsid w:val="008842A8"/>
    <w:pPr>
      <w:numPr>
        <w:ilvl w:val="1"/>
        <w:numId w:val="14"/>
      </w:numPr>
      <w:ind w:left="1134" w:hanging="425"/>
    </w:pPr>
  </w:style>
  <w:style w:type="character" w:customStyle="1" w:styleId="Sign-offChar">
    <w:name w:val="Sign-off Char"/>
    <w:basedOn w:val="Body1Char"/>
    <w:link w:val="Sign-off"/>
    <w:rsid w:val="003D559D"/>
    <w:rPr>
      <w:rFonts w:ascii="Arial" w:hAnsi="Arial" w:cs="Arial"/>
      <w:sz w:val="20"/>
      <w:szCs w:val="20"/>
      <w:lang w:val="en-US"/>
    </w:rPr>
  </w:style>
  <w:style w:type="character" w:customStyle="1" w:styleId="Numeral2Char">
    <w:name w:val="Numeral 2 Char"/>
    <w:basedOn w:val="Numeral1Char"/>
    <w:link w:val="Numeral2"/>
    <w:rsid w:val="008842A8"/>
    <w:rPr>
      <w:rFonts w:ascii="Arial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06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oore-australi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iena.parsons@moore-australia.com.au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oore-australia.com.au/news-and-views/october-2024/apac-mid-market-m-a-report-q1-fy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enaParsons\AppData\Local\Temp\Templafy\WordVsto\hh5h2a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b93e7-d400-45b0-82f0-d1dfb3284948" xsi:nil="true"/>
    <lcf76f155ced4ddcb4097134ff3c332f xmlns="e9864776-bb74-49c7-9252-a5893f926260">
      <Terms xmlns="http://schemas.microsoft.com/office/infopath/2007/PartnerControls"/>
    </lcf76f155ced4ddcb4097134ff3c332f>
  </documentManagement>
</p:properties>
</file>

<file path=customXml/item5.xml><?xml version="1.0" encoding="utf-8"?>
<TemplafyTemplateConfiguration><![CDATA[{"elementsMetadata":[],"transformationConfigurations":[],"templateName":"Moore Australia Template NF (1)","templateDescription":"","enableDocumentContentUpdater":false,"version":"2.0"}]]></TemplafyTemplateConfiguratio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D10D26266034BAC509503CCCE04A2" ma:contentTypeVersion="18" ma:contentTypeDescription="Create a new document." ma:contentTypeScope="" ma:versionID="d262652b90203e19673cdfd1db4b109a">
  <xsd:schema xmlns:xsd="http://www.w3.org/2001/XMLSchema" xmlns:xs="http://www.w3.org/2001/XMLSchema" xmlns:p="http://schemas.microsoft.com/office/2006/metadata/properties" xmlns:ns2="e9864776-bb74-49c7-9252-a5893f926260" xmlns:ns3="c2db93e7-d400-45b0-82f0-d1dfb3284948" targetNamespace="http://schemas.microsoft.com/office/2006/metadata/properties" ma:root="true" ma:fieldsID="ffd437a82dfbe44a0d5a07806b036792" ns2:_="" ns3:_="">
    <xsd:import namespace="e9864776-bb74-49c7-9252-a5893f926260"/>
    <xsd:import namespace="c2db93e7-d400-45b0-82f0-d1dfb3284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776-bb74-49c7-9252-a5893f92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1ad363-758a-4871-8d8a-7e85a8337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93e7-d400-45b0-82f0-d1dfb3284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0c78f9-475d-42c4-b817-35f68f567c59}" ma:internalName="TaxCatchAll" ma:showField="CatchAllData" ma:web="c2db93e7-d400-45b0-82f0-d1dfb3284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92547-2404-4BBB-A54E-3D05203184B0}">
  <ds:schemaRefs/>
</ds:datastoreItem>
</file>

<file path=customXml/itemProps2.xml><?xml version="1.0" encoding="utf-8"?>
<ds:datastoreItem xmlns:ds="http://schemas.openxmlformats.org/officeDocument/2006/customXml" ds:itemID="{4C54BBB7-5E80-4970-8A46-1C309EEE5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0ED27-5485-43F1-8356-A624E91FD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25BD1-1522-4F2F-B1CA-A53AF3953AF0}">
  <ds:schemaRefs>
    <ds:schemaRef ds:uri="http://schemas.microsoft.com/office/2006/metadata/properties"/>
    <ds:schemaRef ds:uri="http://schemas.microsoft.com/office/infopath/2007/PartnerControls"/>
    <ds:schemaRef ds:uri="c2db93e7-d400-45b0-82f0-d1dfb3284948"/>
    <ds:schemaRef ds:uri="e9864776-bb74-49c7-9252-a5893f926260"/>
  </ds:schemaRefs>
</ds:datastoreItem>
</file>

<file path=customXml/itemProps5.xml><?xml version="1.0" encoding="utf-8"?>
<ds:datastoreItem xmlns:ds="http://schemas.openxmlformats.org/officeDocument/2006/customXml" ds:itemID="{386AE9C7-581B-48B9-AEB0-02C184024B14}">
  <ds:schemaRefs/>
</ds:datastoreItem>
</file>

<file path=customXml/itemProps6.xml><?xml version="1.0" encoding="utf-8"?>
<ds:datastoreItem xmlns:ds="http://schemas.openxmlformats.org/officeDocument/2006/customXml" ds:itemID="{7BDD2A5B-84D6-40F8-B638-73CA83B8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776-bb74-49c7-9252-a5893f926260"/>
    <ds:schemaRef ds:uri="c2db93e7-d400-45b0-82f0-d1dfb3284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hh5h2a24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2024-10-25T00:20:00Z</dcterms:created>
  <dcterms:modified xsi:type="dcterms:W3CDTF">2024-10-25T00:21:00Z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mooreaustralia</vt:lpwstr>
  </property>
  <property fmtid="{D5CDD505-2E9C-101B-9397-08002B2CF9AE}" pid="3" name="TemplafyTemplateId">
    <vt:lpwstr>638173881206144741</vt:lpwstr>
  </property>
  <property fmtid="{D5CDD505-2E9C-101B-9397-08002B2CF9AE}" pid="4" name="TemplafyUserProfileId">
    <vt:lpwstr>637807603886430976</vt:lpwstr>
  </property>
  <property fmtid="{D5CDD505-2E9C-101B-9397-08002B2CF9AE}" pid="5" name="TemplafyFromBlank">
    <vt:bool>true</vt:bool>
  </property>
  <property fmtid="{D5CDD505-2E9C-101B-9397-08002B2CF9AE}" pid="6" name="MSIP_Label_fc3c2236-76ff-467b-bd19-e33184dacd01_Enabled">
    <vt:lpwstr>true</vt:lpwstr>
  </property>
  <property fmtid="{D5CDD505-2E9C-101B-9397-08002B2CF9AE}" pid="7" name="MSIP_Label_fc3c2236-76ff-467b-bd19-e33184dacd01_SetDate">
    <vt:lpwstr>2024-10-24T06:09:22Z</vt:lpwstr>
  </property>
  <property fmtid="{D5CDD505-2E9C-101B-9397-08002B2CF9AE}" pid="8" name="MSIP_Label_fc3c2236-76ff-467b-bd19-e33184dacd01_Method">
    <vt:lpwstr>Standard</vt:lpwstr>
  </property>
  <property fmtid="{D5CDD505-2E9C-101B-9397-08002B2CF9AE}" pid="9" name="MSIP_Label_fc3c2236-76ff-467b-bd19-e33184dacd01_Name">
    <vt:lpwstr>defa4170-0d19-0005-0004-bc88714345d2</vt:lpwstr>
  </property>
  <property fmtid="{D5CDD505-2E9C-101B-9397-08002B2CF9AE}" pid="10" name="MSIP_Label_fc3c2236-76ff-467b-bd19-e33184dacd01_SiteId">
    <vt:lpwstr>469a9435-ea01-4080-8eb0-a333da73597c</vt:lpwstr>
  </property>
  <property fmtid="{D5CDD505-2E9C-101B-9397-08002B2CF9AE}" pid="11" name="MSIP_Label_fc3c2236-76ff-467b-bd19-e33184dacd01_ActionId">
    <vt:lpwstr>b7ada6da-f6fe-4e04-bed0-4f9b80a3d8ca</vt:lpwstr>
  </property>
  <property fmtid="{D5CDD505-2E9C-101B-9397-08002B2CF9AE}" pid="12" name="MSIP_Label_fc3c2236-76ff-467b-bd19-e33184dacd01_ContentBits">
    <vt:lpwstr>0</vt:lpwstr>
  </property>
  <property fmtid="{D5CDD505-2E9C-101B-9397-08002B2CF9AE}" pid="13" name="ContentTypeId">
    <vt:lpwstr>0x0101002C9D10D26266034BAC509503CCCE04A2</vt:lpwstr>
  </property>
  <property fmtid="{D5CDD505-2E9C-101B-9397-08002B2CF9AE}" pid="14" name="MediaServiceImageTags">
    <vt:lpwstr/>
  </property>
</Properties>
</file>